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D9B7" w14:textId="2E7CA7AA" w:rsidR="00B25553" w:rsidRDefault="007C5EDD" w:rsidP="004C695A">
      <w:pPr>
        <w:spacing w:after="0" w:line="240" w:lineRule="auto"/>
        <w:jc w:val="both"/>
        <w:rPr>
          <w:rFonts w:ascii="Times New Roman" w:hAnsi="Times New Roman"/>
          <w:b/>
          <w:caps/>
          <w:sz w:val="20"/>
          <w:szCs w:val="20"/>
          <w:lang w:eastAsia="es-ES"/>
        </w:rPr>
      </w:pPr>
      <w:r w:rsidRPr="007C5EDD">
        <w:rPr>
          <w:rFonts w:ascii="Times New Roman" w:hAnsi="Times New Roman"/>
          <w:b/>
          <w:caps/>
          <w:sz w:val="20"/>
          <w:szCs w:val="20"/>
          <w:lang w:eastAsia="es-ES"/>
        </w:rPr>
        <w:t>evalu</w:t>
      </w:r>
      <w:r w:rsidR="00F32A9F">
        <w:rPr>
          <w:rFonts w:ascii="Times New Roman" w:hAnsi="Times New Roman"/>
          <w:b/>
          <w:caps/>
          <w:sz w:val="20"/>
          <w:szCs w:val="20"/>
          <w:lang w:eastAsia="es-ES"/>
        </w:rPr>
        <w:t>ACIÓN de</w:t>
      </w:r>
      <w:r w:rsidRPr="007C5EDD">
        <w:rPr>
          <w:rFonts w:ascii="Times New Roman" w:hAnsi="Times New Roman"/>
          <w:b/>
          <w:caps/>
          <w:sz w:val="20"/>
          <w:szCs w:val="20"/>
          <w:lang w:eastAsia="es-ES"/>
        </w:rPr>
        <w:t xml:space="preserve"> </w:t>
      </w:r>
      <w:r w:rsidR="00237935">
        <w:rPr>
          <w:rFonts w:ascii="Times New Roman" w:hAnsi="Times New Roman"/>
          <w:b/>
          <w:caps/>
          <w:sz w:val="20"/>
          <w:szCs w:val="20"/>
          <w:lang w:eastAsia="es-ES"/>
        </w:rPr>
        <w:t xml:space="preserve">LA </w:t>
      </w:r>
      <w:r w:rsidRPr="007C5EDD">
        <w:rPr>
          <w:rFonts w:ascii="Times New Roman" w:hAnsi="Times New Roman"/>
          <w:b/>
          <w:caps/>
          <w:sz w:val="20"/>
          <w:szCs w:val="20"/>
          <w:lang w:eastAsia="es-ES"/>
        </w:rPr>
        <w:t>sostenibilidad en</w:t>
      </w:r>
      <w:r w:rsidR="00F32A9F">
        <w:rPr>
          <w:rFonts w:ascii="Times New Roman" w:hAnsi="Times New Roman"/>
          <w:b/>
          <w:caps/>
          <w:sz w:val="20"/>
          <w:szCs w:val="20"/>
          <w:lang w:eastAsia="es-ES"/>
        </w:rPr>
        <w:t xml:space="preserve"> LA</w:t>
      </w:r>
      <w:r w:rsidRPr="007C5EDD">
        <w:rPr>
          <w:rFonts w:ascii="Times New Roman" w:hAnsi="Times New Roman"/>
          <w:b/>
          <w:caps/>
          <w:sz w:val="20"/>
          <w:szCs w:val="20"/>
          <w:lang w:eastAsia="es-ES"/>
        </w:rPr>
        <w:t xml:space="preserve"> horticultura intensiva</w:t>
      </w:r>
      <w:r w:rsidR="00F32A9F">
        <w:rPr>
          <w:rFonts w:ascii="Times New Roman" w:hAnsi="Times New Roman"/>
          <w:b/>
          <w:caps/>
          <w:sz w:val="20"/>
          <w:szCs w:val="20"/>
          <w:lang w:eastAsia="es-ES"/>
        </w:rPr>
        <w:t xml:space="preserve"> DE ALMERÍA</w:t>
      </w:r>
      <w:r w:rsidRPr="007C5EDD">
        <w:rPr>
          <w:rFonts w:ascii="Times New Roman" w:hAnsi="Times New Roman"/>
          <w:b/>
          <w:caps/>
          <w:sz w:val="20"/>
          <w:szCs w:val="20"/>
          <w:lang w:eastAsia="es-ES"/>
        </w:rPr>
        <w:t xml:space="preserve">: </w:t>
      </w:r>
      <w:r w:rsidR="00F32A9F">
        <w:rPr>
          <w:rFonts w:ascii="Times New Roman" w:hAnsi="Times New Roman"/>
          <w:b/>
          <w:caps/>
          <w:sz w:val="20"/>
          <w:szCs w:val="20"/>
          <w:lang w:eastAsia="es-ES"/>
        </w:rPr>
        <w:t>DESALINIZACIÓN E ÍNDICE SEWEF</w:t>
      </w:r>
    </w:p>
    <w:p w14:paraId="5DC2DAE1" w14:textId="77777777" w:rsidR="00FB0775" w:rsidRPr="001F1661" w:rsidRDefault="00FB0775" w:rsidP="00E10629">
      <w:pPr>
        <w:keepNext/>
        <w:spacing w:after="0" w:line="240" w:lineRule="auto"/>
        <w:jc w:val="both"/>
        <w:rPr>
          <w:rFonts w:ascii="Times New Roman" w:hAnsi="Times New Roman"/>
          <w:b/>
          <w:caps/>
          <w:snapToGrid w:val="0"/>
          <w:sz w:val="18"/>
          <w:szCs w:val="18"/>
          <w:lang w:val="es-ES" w:eastAsia="es-ES"/>
        </w:rPr>
      </w:pPr>
    </w:p>
    <w:p w14:paraId="29A70AD8" w14:textId="3648FB5A" w:rsidR="002564BB" w:rsidRPr="001F1661" w:rsidRDefault="002564BB" w:rsidP="002564BB">
      <w:pPr>
        <w:spacing w:after="0" w:line="240" w:lineRule="auto"/>
        <w:jc w:val="both"/>
        <w:rPr>
          <w:rFonts w:ascii="Times New Roman" w:hAnsi="Times New Roman"/>
          <w:b/>
          <w:bCs/>
          <w:snapToGrid w:val="0"/>
          <w:sz w:val="20"/>
          <w:szCs w:val="20"/>
          <w:lang w:val="es-ES" w:eastAsia="es-ES"/>
        </w:rPr>
      </w:pPr>
      <w:r w:rsidRPr="00BA1C48">
        <w:rPr>
          <w:rFonts w:ascii="Times New Roman" w:hAnsi="Times New Roman"/>
          <w:b/>
          <w:bCs/>
          <w:snapToGrid w:val="0"/>
          <w:sz w:val="20"/>
          <w:szCs w:val="20"/>
          <w:u w:val="single"/>
          <w:lang w:val="es-ES" w:eastAsia="es-ES"/>
        </w:rPr>
        <w:t>Víctor Correa</w:t>
      </w:r>
      <w:r>
        <w:rPr>
          <w:rFonts w:ascii="Times New Roman" w:hAnsi="Times New Roman"/>
          <w:b/>
          <w:bCs/>
          <w:snapToGrid w:val="0"/>
          <w:sz w:val="20"/>
          <w:szCs w:val="20"/>
          <w:u w:val="single"/>
          <w:lang w:val="es-ES" w:eastAsia="es-ES"/>
        </w:rPr>
        <w:t>-Porcel</w:t>
      </w:r>
      <w:r w:rsidRPr="00BA1C48">
        <w:rPr>
          <w:rFonts w:ascii="Times New Roman" w:hAnsi="Times New Roman"/>
          <w:b/>
          <w:bCs/>
          <w:snapToGrid w:val="0"/>
          <w:sz w:val="20"/>
          <w:szCs w:val="20"/>
          <w:lang w:val="es-ES" w:eastAsia="es-ES"/>
        </w:rPr>
        <w:t>*</w:t>
      </w:r>
      <w:r>
        <w:rPr>
          <w:rFonts w:ascii="Times New Roman" w:hAnsi="Times New Roman"/>
          <w:b/>
          <w:bCs/>
          <w:snapToGrid w:val="0"/>
          <w:sz w:val="20"/>
          <w:szCs w:val="20"/>
          <w:lang w:val="es-ES" w:eastAsia="es-ES"/>
        </w:rPr>
        <w:t>, Laura Piedra-Muñoz</w:t>
      </w:r>
      <w:r w:rsidR="002A57CF">
        <w:rPr>
          <w:rFonts w:ascii="Times New Roman" w:hAnsi="Times New Roman"/>
          <w:b/>
          <w:bCs/>
          <w:snapToGrid w:val="0"/>
          <w:sz w:val="20"/>
          <w:szCs w:val="20"/>
          <w:lang w:val="es-ES" w:eastAsia="es-ES"/>
        </w:rPr>
        <w:t xml:space="preserve"> y</w:t>
      </w:r>
      <w:r>
        <w:rPr>
          <w:rFonts w:ascii="Times New Roman" w:hAnsi="Times New Roman"/>
          <w:b/>
          <w:bCs/>
          <w:snapToGrid w:val="0"/>
          <w:sz w:val="20"/>
          <w:szCs w:val="20"/>
          <w:lang w:val="es-ES" w:eastAsia="es-ES"/>
        </w:rPr>
        <w:t xml:space="preserve"> Emilio Galdeano-Gómez</w:t>
      </w:r>
    </w:p>
    <w:p w14:paraId="0857D6DD" w14:textId="77777777" w:rsidR="002564BB" w:rsidRPr="005D7A52" w:rsidRDefault="002564BB" w:rsidP="002564BB">
      <w:pPr>
        <w:spacing w:after="0" w:line="240" w:lineRule="auto"/>
        <w:jc w:val="both"/>
        <w:rPr>
          <w:rFonts w:ascii="Times New Roman" w:hAnsi="Times New Roman"/>
          <w:bCs/>
          <w:caps/>
          <w:sz w:val="20"/>
          <w:szCs w:val="20"/>
          <w:lang w:val="es-ES" w:eastAsia="es-ES"/>
        </w:rPr>
      </w:pPr>
    </w:p>
    <w:p w14:paraId="2CDAA052" w14:textId="77777777" w:rsidR="002564BB" w:rsidRDefault="002564BB" w:rsidP="002564BB">
      <w:pPr>
        <w:spacing w:after="0" w:line="240" w:lineRule="auto"/>
        <w:jc w:val="both"/>
        <w:rPr>
          <w:rFonts w:ascii="Times New Roman" w:hAnsi="Times New Roman"/>
          <w:snapToGrid w:val="0"/>
          <w:sz w:val="20"/>
          <w:szCs w:val="20"/>
          <w:lang w:val="es-ES" w:eastAsia="es-ES"/>
        </w:rPr>
      </w:pPr>
      <w:r>
        <w:rPr>
          <w:rFonts w:ascii="Times New Roman" w:hAnsi="Times New Roman"/>
          <w:snapToGrid w:val="0"/>
          <w:sz w:val="20"/>
          <w:szCs w:val="20"/>
          <w:lang w:val="es-ES" w:eastAsia="es-ES"/>
        </w:rPr>
        <w:t>*</w:t>
      </w:r>
      <w:r w:rsidRPr="00B532F8">
        <w:rPr>
          <w:rFonts w:ascii="Times New Roman" w:hAnsi="Times New Roman"/>
          <w:snapToGrid w:val="0"/>
          <w:sz w:val="20"/>
          <w:szCs w:val="20"/>
          <w:lang w:val="es-ES" w:eastAsia="es-ES"/>
        </w:rPr>
        <w:t>E-mail</w:t>
      </w:r>
      <w:r>
        <w:rPr>
          <w:rFonts w:ascii="Times New Roman" w:hAnsi="Times New Roman"/>
          <w:snapToGrid w:val="0"/>
          <w:sz w:val="20"/>
          <w:szCs w:val="20"/>
          <w:lang w:val="es-ES" w:eastAsia="es-ES"/>
        </w:rPr>
        <w:t xml:space="preserve">: </w:t>
      </w:r>
      <w:hyperlink r:id="rId8" w:history="1">
        <w:r w:rsidRPr="005C1C71">
          <w:rPr>
            <w:rStyle w:val="Hipervnculo"/>
            <w:rFonts w:ascii="Times New Roman" w:hAnsi="Times New Roman"/>
            <w:snapToGrid w:val="0"/>
            <w:sz w:val="20"/>
            <w:szCs w:val="20"/>
            <w:lang w:val="es-ES" w:eastAsia="es-ES"/>
          </w:rPr>
          <w:t>victorcorreaporcel@hotmail.com</w:t>
        </w:r>
      </w:hyperlink>
    </w:p>
    <w:p w14:paraId="5A4540EE" w14:textId="77777777" w:rsidR="002564BB" w:rsidRPr="004C0654" w:rsidRDefault="002564BB" w:rsidP="002564BB">
      <w:pPr>
        <w:spacing w:after="0" w:line="240" w:lineRule="auto"/>
        <w:jc w:val="both"/>
        <w:rPr>
          <w:rFonts w:ascii="Times New Roman" w:hAnsi="Times New Roman"/>
          <w:snapToGrid w:val="0"/>
          <w:sz w:val="20"/>
          <w:szCs w:val="20"/>
          <w:lang w:val="es-ES" w:eastAsia="es-ES"/>
        </w:rPr>
      </w:pPr>
    </w:p>
    <w:p w14:paraId="2DD8CDD1" w14:textId="7DBCEC3E" w:rsidR="002564BB" w:rsidRDefault="002564BB" w:rsidP="002564BB">
      <w:pPr>
        <w:spacing w:after="0" w:line="240" w:lineRule="auto"/>
        <w:jc w:val="both"/>
        <w:rPr>
          <w:rFonts w:ascii="Times New Roman" w:hAnsi="Times New Roman"/>
          <w:i/>
          <w:iCs/>
          <w:snapToGrid w:val="0"/>
          <w:color w:val="FF0000"/>
          <w:sz w:val="20"/>
          <w:szCs w:val="20"/>
          <w:lang w:val="es-ES" w:eastAsia="es-ES"/>
        </w:rPr>
      </w:pPr>
      <w:r w:rsidRPr="00B532F8">
        <w:rPr>
          <w:rFonts w:ascii="Times New Roman" w:hAnsi="Times New Roman"/>
          <w:i/>
          <w:iCs/>
          <w:snapToGrid w:val="0"/>
          <w:sz w:val="20"/>
          <w:szCs w:val="20"/>
          <w:lang w:val="es-ES" w:eastAsia="es-ES"/>
        </w:rPr>
        <w:t>Universidad de Almería (CIMEDES, ceiA3). Ctra. Sacramento, s/n. 04120 La Cañada de San Urbano</w:t>
      </w:r>
      <w:r>
        <w:rPr>
          <w:rFonts w:ascii="Times New Roman" w:hAnsi="Times New Roman"/>
          <w:i/>
          <w:iCs/>
          <w:snapToGrid w:val="0"/>
          <w:sz w:val="20"/>
          <w:szCs w:val="20"/>
          <w:lang w:val="es-ES" w:eastAsia="es-ES"/>
        </w:rPr>
        <w:t xml:space="preserve"> (</w:t>
      </w:r>
      <w:r w:rsidRPr="00B532F8">
        <w:rPr>
          <w:rFonts w:ascii="Times New Roman" w:hAnsi="Times New Roman"/>
          <w:i/>
          <w:iCs/>
          <w:snapToGrid w:val="0"/>
          <w:sz w:val="20"/>
          <w:szCs w:val="20"/>
          <w:lang w:val="es-ES" w:eastAsia="es-ES"/>
        </w:rPr>
        <w:t xml:space="preserve">Almería, </w:t>
      </w:r>
      <w:r w:rsidRPr="006D509E">
        <w:rPr>
          <w:rFonts w:ascii="Times New Roman" w:hAnsi="Times New Roman"/>
          <w:i/>
          <w:iCs/>
          <w:snapToGrid w:val="0"/>
          <w:sz w:val="20"/>
          <w:szCs w:val="20"/>
          <w:lang w:val="es-ES" w:eastAsia="es-ES"/>
        </w:rPr>
        <w:t>España)</w:t>
      </w:r>
    </w:p>
    <w:p w14:paraId="17A9925B" w14:textId="77777777" w:rsidR="002564BB" w:rsidRDefault="002564BB" w:rsidP="1CEE7C6F">
      <w:pPr>
        <w:spacing w:after="0" w:line="240" w:lineRule="auto"/>
        <w:jc w:val="both"/>
        <w:rPr>
          <w:rFonts w:ascii="Times New Roman" w:hAnsi="Times New Roman"/>
          <w:b/>
          <w:bCs/>
          <w:snapToGrid w:val="0"/>
          <w:sz w:val="20"/>
          <w:szCs w:val="20"/>
          <w:lang w:val="es-ES" w:eastAsia="es-ES"/>
        </w:rPr>
      </w:pPr>
    </w:p>
    <w:p w14:paraId="09DA3EE5" w14:textId="3254279E" w:rsidR="0081514F" w:rsidRPr="00F32A9F" w:rsidRDefault="0081514F" w:rsidP="0081514F">
      <w:pPr>
        <w:spacing w:after="60" w:line="240" w:lineRule="auto"/>
        <w:jc w:val="both"/>
        <w:rPr>
          <w:rFonts w:ascii="Times New Roman" w:hAnsi="Times New Roman"/>
          <w:b/>
          <w:bCs/>
          <w:color w:val="EE0000"/>
          <w:sz w:val="20"/>
          <w:szCs w:val="20"/>
          <w:lang w:val="es-ES" w:eastAsia="es-ES"/>
        </w:rPr>
      </w:pPr>
      <w:r w:rsidRPr="008E1D60">
        <w:rPr>
          <w:rFonts w:ascii="Times New Roman" w:hAnsi="Times New Roman"/>
          <w:b/>
          <w:bCs/>
          <w:sz w:val="20"/>
          <w:szCs w:val="20"/>
          <w:lang w:val="es-ES" w:eastAsia="es-ES"/>
        </w:rPr>
        <w:t>Resumen</w:t>
      </w:r>
      <w:r w:rsidR="00F32A9F">
        <w:rPr>
          <w:rFonts w:ascii="Times New Roman" w:hAnsi="Times New Roman"/>
          <w:b/>
          <w:bCs/>
          <w:sz w:val="20"/>
          <w:szCs w:val="20"/>
          <w:lang w:val="es-ES" w:eastAsia="es-ES"/>
        </w:rPr>
        <w:t xml:space="preserve"> </w:t>
      </w:r>
    </w:p>
    <w:p w14:paraId="05F7D00F" w14:textId="3757A51E" w:rsidR="00FB7D42" w:rsidRDefault="008C755F" w:rsidP="0081514F">
      <w:pPr>
        <w:spacing w:after="0" w:line="240" w:lineRule="auto"/>
        <w:jc w:val="both"/>
        <w:rPr>
          <w:rFonts w:ascii="Times New Roman" w:hAnsi="Times New Roman"/>
          <w:sz w:val="20"/>
          <w:szCs w:val="20"/>
          <w:lang w:eastAsia="es-ES"/>
        </w:rPr>
      </w:pPr>
      <w:r w:rsidRPr="008C755F">
        <w:rPr>
          <w:rFonts w:ascii="Times New Roman" w:hAnsi="Times New Roman"/>
          <w:sz w:val="20"/>
          <w:szCs w:val="20"/>
          <w:lang w:eastAsia="es-ES"/>
        </w:rPr>
        <w:t>Este trabajo presenta una metodología para evaluar la sostenibilidad de los cultivos hortícolas bajo invernadero en Almería, principal zona productiva del sudeste español. Se propone el Índice SEWEF (Socio-Economic and Water-Energy-Food), un indicador compuesto que integra siete variables físico-productivas y socioeconómicas en ocho cultivos durante once campañas (2010/2011–2020/2021). Las ponderaciones se obtienen con el método CRITIC y se aplica una suma ponderada (MCDM) para generar un índice agregado por cultivo y temporada. Posteriormente, se emplea ANOVA, con la prueba de Tukey HSD, para identificar diferencias significativas. El estudio destaca la desalinización como alternativa a la sobreexplotación de acuíferos, aunque reconoce el mayor consumo eléctrico asociado. Los resultados permiten clasificar los cultivos según su sostenibilidad integrada y ofrecen una herramienta cuantitativa para la toma de decisiones en el nexo agua-energía-alimentos con enfoque socioeconómico.</w:t>
      </w:r>
    </w:p>
    <w:p w14:paraId="4F6F2CD7" w14:textId="77777777" w:rsidR="008C755F" w:rsidRDefault="008C755F" w:rsidP="0081514F">
      <w:pPr>
        <w:spacing w:after="0" w:line="240" w:lineRule="auto"/>
        <w:jc w:val="both"/>
        <w:rPr>
          <w:rFonts w:ascii="Times New Roman" w:hAnsi="Times New Roman"/>
          <w:b/>
          <w:bCs/>
          <w:snapToGrid w:val="0"/>
          <w:sz w:val="20"/>
          <w:szCs w:val="20"/>
          <w:lang w:val="es-ES" w:eastAsia="es-ES"/>
        </w:rPr>
      </w:pPr>
    </w:p>
    <w:p w14:paraId="7C1E5AA2" w14:textId="654AE507" w:rsidR="0081514F" w:rsidRPr="0081514F" w:rsidRDefault="0081514F" w:rsidP="0081514F">
      <w:pPr>
        <w:spacing w:after="0" w:line="240" w:lineRule="auto"/>
        <w:jc w:val="both"/>
        <w:rPr>
          <w:rFonts w:ascii="Times New Roman" w:hAnsi="Times New Roman"/>
          <w:snapToGrid w:val="0"/>
          <w:sz w:val="20"/>
          <w:szCs w:val="20"/>
          <w:lang w:val="es-ES" w:eastAsia="es-ES"/>
        </w:rPr>
      </w:pPr>
      <w:r w:rsidRPr="0081514F">
        <w:rPr>
          <w:rFonts w:ascii="Times New Roman" w:hAnsi="Times New Roman"/>
          <w:b/>
          <w:bCs/>
          <w:snapToGrid w:val="0"/>
          <w:sz w:val="20"/>
          <w:szCs w:val="20"/>
          <w:lang w:val="es-ES" w:eastAsia="es-ES"/>
        </w:rPr>
        <w:t>Palabras clave:</w:t>
      </w:r>
      <w:r w:rsidRPr="0081514F">
        <w:rPr>
          <w:rFonts w:ascii="Times New Roman" w:hAnsi="Times New Roman"/>
          <w:snapToGrid w:val="0"/>
          <w:sz w:val="20"/>
          <w:szCs w:val="20"/>
          <w:lang w:val="es-ES" w:eastAsia="es-ES"/>
        </w:rPr>
        <w:t xml:space="preserve"> </w:t>
      </w:r>
      <w:r w:rsidR="00291EFB" w:rsidRPr="00291EFB">
        <w:rPr>
          <w:rFonts w:ascii="Times New Roman" w:hAnsi="Times New Roman"/>
          <w:snapToGrid w:val="0"/>
          <w:sz w:val="20"/>
          <w:szCs w:val="20"/>
          <w:lang w:val="es-ES" w:eastAsia="es-ES"/>
        </w:rPr>
        <w:t>agricultura en Almería</w:t>
      </w:r>
      <w:r w:rsidR="00291EFB">
        <w:rPr>
          <w:rFonts w:ascii="Times New Roman" w:hAnsi="Times New Roman"/>
          <w:snapToGrid w:val="0"/>
          <w:sz w:val="20"/>
          <w:szCs w:val="20"/>
          <w:lang w:val="es-ES" w:eastAsia="es-ES"/>
        </w:rPr>
        <w:t>,</w:t>
      </w:r>
      <w:r w:rsidR="00291EFB" w:rsidRPr="00291EFB">
        <w:rPr>
          <w:rFonts w:ascii="Times New Roman" w:hAnsi="Times New Roman"/>
          <w:snapToGrid w:val="0"/>
          <w:sz w:val="20"/>
          <w:szCs w:val="20"/>
          <w:lang w:val="es-ES" w:eastAsia="es-ES"/>
        </w:rPr>
        <w:t xml:space="preserve"> </w:t>
      </w:r>
      <w:r w:rsidR="00151B53">
        <w:rPr>
          <w:rFonts w:ascii="Times New Roman" w:hAnsi="Times New Roman"/>
          <w:snapToGrid w:val="0"/>
          <w:sz w:val="20"/>
          <w:szCs w:val="20"/>
          <w:lang w:val="es-ES" w:eastAsia="es-ES"/>
        </w:rPr>
        <w:t xml:space="preserve">desalinización, </w:t>
      </w:r>
      <w:r w:rsidR="00291EFB">
        <w:rPr>
          <w:rFonts w:ascii="Times New Roman" w:hAnsi="Times New Roman"/>
          <w:snapToGrid w:val="0"/>
          <w:sz w:val="20"/>
          <w:szCs w:val="20"/>
          <w:lang w:val="es-ES" w:eastAsia="es-ES"/>
        </w:rPr>
        <w:t>evaluación de la sostenibilidad,</w:t>
      </w:r>
      <w:r w:rsidR="00291EFB" w:rsidRPr="00291EFB">
        <w:rPr>
          <w:rFonts w:ascii="Times New Roman" w:hAnsi="Times New Roman"/>
          <w:snapToGrid w:val="0"/>
          <w:sz w:val="20"/>
          <w:szCs w:val="20"/>
          <w:lang w:val="es-ES" w:eastAsia="es-ES"/>
        </w:rPr>
        <w:t xml:space="preserve"> horticultura intensiva bajo invernadero</w:t>
      </w:r>
      <w:r w:rsidR="00291EFB">
        <w:rPr>
          <w:rFonts w:ascii="Times New Roman" w:hAnsi="Times New Roman"/>
          <w:snapToGrid w:val="0"/>
          <w:sz w:val="20"/>
          <w:szCs w:val="20"/>
          <w:lang w:val="es-ES" w:eastAsia="es-ES"/>
        </w:rPr>
        <w:t>,</w:t>
      </w:r>
      <w:r w:rsidR="00291EFB" w:rsidRPr="00291EFB">
        <w:rPr>
          <w:rFonts w:ascii="Times New Roman" w:hAnsi="Times New Roman"/>
          <w:snapToGrid w:val="0"/>
          <w:sz w:val="20"/>
          <w:szCs w:val="20"/>
          <w:lang w:val="es-ES" w:eastAsia="es-ES"/>
        </w:rPr>
        <w:t xml:space="preserve"> índice SEWEF,</w:t>
      </w:r>
      <w:r w:rsidR="00291EFB">
        <w:rPr>
          <w:rFonts w:ascii="Times New Roman" w:hAnsi="Times New Roman"/>
          <w:snapToGrid w:val="0"/>
          <w:sz w:val="20"/>
          <w:szCs w:val="20"/>
          <w:lang w:val="es-ES" w:eastAsia="es-ES"/>
        </w:rPr>
        <w:t xml:space="preserve"> toma de decisiones multicriterio (MCDM) </w:t>
      </w:r>
    </w:p>
    <w:p w14:paraId="3C2D9D99" w14:textId="77777777" w:rsidR="0081514F" w:rsidRPr="008A1B87" w:rsidRDefault="0081514F" w:rsidP="1CEE7C6F">
      <w:pPr>
        <w:spacing w:after="0" w:line="240" w:lineRule="auto"/>
        <w:jc w:val="both"/>
        <w:rPr>
          <w:rFonts w:ascii="Times New Roman" w:hAnsi="Times New Roman"/>
          <w:snapToGrid w:val="0"/>
          <w:sz w:val="20"/>
          <w:szCs w:val="20"/>
          <w:lang w:val="es-ES" w:eastAsia="es-ES"/>
        </w:rPr>
      </w:pPr>
    </w:p>
    <w:p w14:paraId="524F8155" w14:textId="77777777" w:rsidR="00CF351F" w:rsidRDefault="00C229FC" w:rsidP="00CF351F">
      <w:pPr>
        <w:spacing w:after="60" w:line="240" w:lineRule="auto"/>
        <w:jc w:val="both"/>
        <w:rPr>
          <w:rFonts w:ascii="Times New Roman" w:hAnsi="Times New Roman"/>
          <w:b/>
          <w:bCs/>
          <w:sz w:val="20"/>
          <w:szCs w:val="20"/>
          <w:lang w:val="es-ES" w:eastAsia="es-ES"/>
        </w:rPr>
      </w:pPr>
      <w:r w:rsidRPr="00861754">
        <w:rPr>
          <w:rFonts w:ascii="Times New Roman" w:hAnsi="Times New Roman"/>
          <w:b/>
          <w:bCs/>
          <w:sz w:val="20"/>
          <w:szCs w:val="20"/>
          <w:lang w:val="es-ES" w:eastAsia="es-ES"/>
        </w:rPr>
        <w:t>1. Introducción y objetivos</w:t>
      </w:r>
    </w:p>
    <w:p w14:paraId="36E5F0DD" w14:textId="104BC1CD" w:rsidR="00460F49" w:rsidRPr="00CF351F" w:rsidRDefault="00460F49" w:rsidP="00CF351F">
      <w:pPr>
        <w:spacing w:after="60" w:line="240" w:lineRule="auto"/>
        <w:jc w:val="both"/>
        <w:rPr>
          <w:rFonts w:ascii="Times New Roman" w:hAnsi="Times New Roman"/>
          <w:b/>
          <w:bCs/>
          <w:sz w:val="20"/>
          <w:szCs w:val="20"/>
          <w:lang w:val="es-ES" w:eastAsia="es-ES"/>
        </w:rPr>
      </w:pPr>
      <w:r w:rsidRPr="009E7BEF">
        <w:rPr>
          <w:rFonts w:ascii="Times New Roman" w:hAnsi="Times New Roman"/>
          <w:sz w:val="20"/>
          <w:szCs w:val="20"/>
          <w:lang w:eastAsia="es-ES"/>
        </w:rPr>
        <w:t>La horticultura intensiva bajo invernadero en la provincia de Almería constituye uno de los sistemas agroproductivos más relevantes del sudeste español. Con una superficie de invernaderos que supera las 32.000 hectáreas, la región produce anualmente más de 3,</w:t>
      </w:r>
      <w:r w:rsidR="009E7BEF" w:rsidRPr="009E7BEF">
        <w:rPr>
          <w:rFonts w:ascii="Times New Roman" w:hAnsi="Times New Roman"/>
          <w:sz w:val="20"/>
          <w:szCs w:val="20"/>
          <w:lang w:eastAsia="es-ES"/>
        </w:rPr>
        <w:t>8</w:t>
      </w:r>
      <w:r w:rsidRPr="009E7BEF">
        <w:rPr>
          <w:rFonts w:ascii="Times New Roman" w:hAnsi="Times New Roman"/>
          <w:sz w:val="20"/>
          <w:szCs w:val="20"/>
          <w:lang w:eastAsia="es-ES"/>
        </w:rPr>
        <w:t xml:space="preserve"> millones de toneladas de frutas y hortalizas, generando un valor de producción de aproximadamente 2.</w:t>
      </w:r>
      <w:r w:rsidR="00B81590" w:rsidRPr="009E7BEF">
        <w:rPr>
          <w:rFonts w:ascii="Times New Roman" w:hAnsi="Times New Roman"/>
          <w:sz w:val="20"/>
          <w:szCs w:val="20"/>
          <w:lang w:eastAsia="es-ES"/>
        </w:rPr>
        <w:t>97</w:t>
      </w:r>
      <w:r w:rsidRPr="009E7BEF">
        <w:rPr>
          <w:rFonts w:ascii="Times New Roman" w:hAnsi="Times New Roman"/>
          <w:sz w:val="20"/>
          <w:szCs w:val="20"/>
          <w:lang w:eastAsia="es-ES"/>
        </w:rPr>
        <w:t>7 millones de euros</w:t>
      </w:r>
      <w:r w:rsidR="009E7BEF" w:rsidRPr="009E7BEF">
        <w:rPr>
          <w:rFonts w:ascii="Times New Roman" w:hAnsi="Times New Roman"/>
          <w:sz w:val="20"/>
          <w:szCs w:val="20"/>
          <w:lang w:eastAsia="es-ES"/>
        </w:rPr>
        <w:t xml:space="preserve"> </w:t>
      </w:r>
      <w:r w:rsidR="009E7BEF" w:rsidRPr="009E7BEF">
        <w:rPr>
          <w:rFonts w:ascii="Times New Roman" w:hAnsi="Times New Roman"/>
          <w:sz w:val="20"/>
          <w:szCs w:val="20"/>
          <w:lang w:val="es-ES" w:eastAsia="es-ES"/>
        </w:rPr>
        <w:t>(Martínez-Valderrama et al. 2024)</w:t>
      </w:r>
      <w:r w:rsidRPr="009E7BEF">
        <w:rPr>
          <w:rFonts w:ascii="Times New Roman" w:hAnsi="Times New Roman"/>
          <w:sz w:val="20"/>
          <w:szCs w:val="20"/>
          <w:lang w:eastAsia="es-ES"/>
        </w:rPr>
        <w:t xml:space="preserve">. </w:t>
      </w:r>
      <w:r w:rsidRPr="00000809">
        <w:rPr>
          <w:rFonts w:ascii="Times New Roman" w:hAnsi="Times New Roman"/>
          <w:sz w:val="20"/>
          <w:szCs w:val="20"/>
          <w:lang w:eastAsia="es-ES"/>
        </w:rPr>
        <w:t xml:space="preserve">Este modelo agrícola representa alrededor del </w:t>
      </w:r>
      <w:r w:rsidR="00000809" w:rsidRPr="00000809">
        <w:rPr>
          <w:rFonts w:ascii="Times New Roman" w:hAnsi="Times New Roman"/>
          <w:sz w:val="20"/>
          <w:szCs w:val="20"/>
          <w:lang w:eastAsia="es-ES"/>
        </w:rPr>
        <w:t>13</w:t>
      </w:r>
      <w:r w:rsidRPr="00000809">
        <w:rPr>
          <w:rFonts w:ascii="Times New Roman" w:hAnsi="Times New Roman"/>
          <w:sz w:val="20"/>
          <w:szCs w:val="20"/>
          <w:lang w:eastAsia="es-ES"/>
        </w:rPr>
        <w:t>% del PIB provincial, en contraste con el promedio nacional del sector agrícola, que es del 2,</w:t>
      </w:r>
      <w:r w:rsidR="00000809" w:rsidRPr="00000809">
        <w:rPr>
          <w:rFonts w:ascii="Times New Roman" w:hAnsi="Times New Roman"/>
          <w:sz w:val="20"/>
          <w:szCs w:val="20"/>
          <w:lang w:eastAsia="es-ES"/>
        </w:rPr>
        <w:t>5</w:t>
      </w:r>
      <w:r w:rsidRPr="00000809">
        <w:rPr>
          <w:rFonts w:ascii="Times New Roman" w:hAnsi="Times New Roman"/>
          <w:sz w:val="20"/>
          <w:szCs w:val="20"/>
          <w:lang w:eastAsia="es-ES"/>
        </w:rPr>
        <w:t>%</w:t>
      </w:r>
      <w:r w:rsidR="002E51CF" w:rsidRPr="00000809">
        <w:rPr>
          <w:rFonts w:ascii="Times New Roman" w:hAnsi="Times New Roman"/>
          <w:sz w:val="20"/>
          <w:szCs w:val="20"/>
          <w:lang w:eastAsia="es-ES"/>
        </w:rPr>
        <w:t xml:space="preserve"> (</w:t>
      </w:r>
      <w:r w:rsidR="00000809" w:rsidRPr="00000809">
        <w:rPr>
          <w:rFonts w:ascii="Times New Roman" w:hAnsi="Times New Roman"/>
          <w:sz w:val="20"/>
          <w:szCs w:val="20"/>
          <w:lang w:eastAsia="es-ES"/>
        </w:rPr>
        <w:t>Castro et al., 2019</w:t>
      </w:r>
      <w:r w:rsidR="002E51CF" w:rsidRPr="00B81590">
        <w:rPr>
          <w:rFonts w:ascii="Times New Roman" w:hAnsi="Times New Roman"/>
          <w:sz w:val="20"/>
          <w:szCs w:val="20"/>
          <w:lang w:eastAsia="es-ES"/>
        </w:rPr>
        <w:t>)</w:t>
      </w:r>
      <w:r w:rsidRPr="00B81590">
        <w:rPr>
          <w:rFonts w:ascii="Times New Roman" w:hAnsi="Times New Roman"/>
          <w:sz w:val="20"/>
          <w:szCs w:val="20"/>
          <w:lang w:eastAsia="es-ES"/>
        </w:rPr>
        <w:t xml:space="preserve">. Además, se estima que el </w:t>
      </w:r>
      <w:r w:rsidR="00B81590" w:rsidRPr="00B81590">
        <w:rPr>
          <w:rFonts w:ascii="Times New Roman" w:hAnsi="Times New Roman"/>
          <w:sz w:val="20"/>
          <w:szCs w:val="20"/>
          <w:lang w:eastAsia="es-ES"/>
        </w:rPr>
        <w:t>80</w:t>
      </w:r>
      <w:r w:rsidRPr="00B81590">
        <w:rPr>
          <w:rFonts w:ascii="Times New Roman" w:hAnsi="Times New Roman"/>
          <w:sz w:val="20"/>
          <w:szCs w:val="20"/>
          <w:lang w:eastAsia="es-ES"/>
        </w:rPr>
        <w:t>% de la producción se destina a la exportación, principalmente a países del norte de Europa</w:t>
      </w:r>
      <w:r w:rsidR="00B81590" w:rsidRPr="00B81590">
        <w:rPr>
          <w:rFonts w:ascii="Times New Roman" w:hAnsi="Times New Roman"/>
          <w:sz w:val="20"/>
          <w:szCs w:val="20"/>
          <w:lang w:eastAsia="es-ES"/>
        </w:rPr>
        <w:t xml:space="preserve"> (Castillo-Díaz et al., 2022)</w:t>
      </w:r>
      <w:r w:rsidRPr="00B81590">
        <w:rPr>
          <w:rFonts w:ascii="Times New Roman" w:hAnsi="Times New Roman"/>
          <w:sz w:val="20"/>
          <w:szCs w:val="20"/>
          <w:lang w:eastAsia="es-ES"/>
        </w:rPr>
        <w:t>.</w:t>
      </w:r>
    </w:p>
    <w:p w14:paraId="6301F29F" w14:textId="4B87C317" w:rsidR="00C57DAC" w:rsidRPr="00C57DAC" w:rsidRDefault="00C57DAC" w:rsidP="005E5C13">
      <w:pPr>
        <w:spacing w:after="60" w:line="240" w:lineRule="auto"/>
        <w:jc w:val="both"/>
        <w:rPr>
          <w:rFonts w:ascii="Times New Roman" w:hAnsi="Times New Roman"/>
          <w:sz w:val="20"/>
          <w:szCs w:val="20"/>
          <w:lang w:eastAsia="es-ES"/>
        </w:rPr>
      </w:pPr>
      <w:r w:rsidRPr="00C57DAC">
        <w:rPr>
          <w:rFonts w:ascii="Times New Roman" w:hAnsi="Times New Roman"/>
          <w:sz w:val="20"/>
          <w:szCs w:val="20"/>
          <w:lang w:eastAsia="es-ES"/>
        </w:rPr>
        <w:t xml:space="preserve">A pesar de su éxito económico, la horticultura intensiva en Almería enfrenta importantes desafíos de sostenibilidad ambiental, especialmente relacionados con la sobreexplotación de </w:t>
      </w:r>
      <w:r w:rsidRPr="00EC4AAA">
        <w:rPr>
          <w:rFonts w:ascii="Times New Roman" w:hAnsi="Times New Roman"/>
          <w:sz w:val="20"/>
          <w:szCs w:val="20"/>
          <w:lang w:eastAsia="es-ES"/>
        </w:rPr>
        <w:t xml:space="preserve">acuíferos y la salinización </w:t>
      </w:r>
      <w:r w:rsidRPr="00C57DAC">
        <w:rPr>
          <w:rFonts w:ascii="Times New Roman" w:hAnsi="Times New Roman"/>
          <w:sz w:val="20"/>
          <w:szCs w:val="20"/>
          <w:lang w:eastAsia="es-ES"/>
        </w:rPr>
        <w:t>del agua de riego, lo que compromete la viabilidad a largo plazo del sistema agrícola (Pulido-Bosch et al., 2020; Sánchez et al., 2015).</w:t>
      </w:r>
      <w:r w:rsidR="00EC4AAA">
        <w:rPr>
          <w:rFonts w:ascii="Times New Roman" w:hAnsi="Times New Roman"/>
          <w:sz w:val="20"/>
          <w:szCs w:val="20"/>
          <w:lang w:eastAsia="es-ES"/>
        </w:rPr>
        <w:t xml:space="preserve"> En este contexto, la creciente dependencia de plantas desalinizadoras supone un aumento significativo en el consumo eléctrico </w:t>
      </w:r>
      <w:bookmarkStart w:id="0" w:name="_Hlk209802994"/>
      <w:r w:rsidR="00EC4AAA" w:rsidRPr="00EC4AAA">
        <w:rPr>
          <w:rFonts w:ascii="Times New Roman" w:hAnsi="Times New Roman"/>
          <w:sz w:val="20"/>
          <w:szCs w:val="20"/>
          <w:lang w:eastAsia="es-ES"/>
        </w:rPr>
        <w:t>—</w:t>
      </w:r>
      <w:bookmarkEnd w:id="0"/>
      <w:r w:rsidR="00EC4AAA">
        <w:rPr>
          <w:rFonts w:ascii="Times New Roman" w:hAnsi="Times New Roman"/>
          <w:sz w:val="20"/>
          <w:szCs w:val="20"/>
          <w:lang w:eastAsia="es-ES"/>
        </w:rPr>
        <w:t>especialmente relevante en la agricultura de invernadero de Almería</w:t>
      </w:r>
      <w:r w:rsidR="00EC4AAA" w:rsidRPr="00EC4AAA">
        <w:rPr>
          <w:rFonts w:ascii="Times New Roman" w:hAnsi="Times New Roman"/>
          <w:sz w:val="20"/>
          <w:szCs w:val="20"/>
          <w:lang w:eastAsia="es-ES"/>
        </w:rPr>
        <w:t>—</w:t>
      </w:r>
      <w:r w:rsidR="00EC4AAA">
        <w:rPr>
          <w:rFonts w:ascii="Times New Roman" w:hAnsi="Times New Roman"/>
          <w:sz w:val="20"/>
          <w:szCs w:val="20"/>
          <w:lang w:eastAsia="es-ES"/>
        </w:rPr>
        <w:t>, lo que añade un reto adicional a la sostenibilidad del sistema (Sola et al., 2021)</w:t>
      </w:r>
      <w:r w:rsidR="005C092C">
        <w:rPr>
          <w:rFonts w:ascii="Times New Roman" w:hAnsi="Times New Roman"/>
          <w:sz w:val="20"/>
          <w:szCs w:val="20"/>
          <w:lang w:eastAsia="es-ES"/>
        </w:rPr>
        <w:t xml:space="preserve">. </w:t>
      </w:r>
      <w:r w:rsidR="00F309DF">
        <w:rPr>
          <w:rFonts w:ascii="Times New Roman" w:hAnsi="Times New Roman"/>
          <w:sz w:val="20"/>
          <w:szCs w:val="20"/>
          <w:lang w:eastAsia="es-ES"/>
        </w:rPr>
        <w:t xml:space="preserve">Diversos estudios señalan que los efectos de la desalinización sobre el medio marino y sobre actividades vinculadas al mar </w:t>
      </w:r>
      <w:r w:rsidR="00F309DF" w:rsidRPr="00F309DF">
        <w:rPr>
          <w:rFonts w:ascii="Times New Roman" w:hAnsi="Times New Roman"/>
          <w:sz w:val="20"/>
          <w:szCs w:val="20"/>
          <w:lang w:eastAsia="es-ES"/>
        </w:rPr>
        <w:t>—</w:t>
      </w:r>
      <w:r w:rsidR="00F309DF">
        <w:rPr>
          <w:rFonts w:ascii="Times New Roman" w:hAnsi="Times New Roman"/>
          <w:sz w:val="20"/>
          <w:szCs w:val="20"/>
          <w:lang w:eastAsia="es-ES"/>
        </w:rPr>
        <w:t>como la pesca, el turismo o el surf</w:t>
      </w:r>
      <w:r w:rsidR="00F309DF" w:rsidRPr="00F309DF">
        <w:rPr>
          <w:rFonts w:ascii="Times New Roman" w:hAnsi="Times New Roman"/>
          <w:sz w:val="20"/>
          <w:szCs w:val="20"/>
          <w:lang w:eastAsia="es-ES"/>
        </w:rPr>
        <w:t>—</w:t>
      </w:r>
      <w:r w:rsidR="00F309DF">
        <w:rPr>
          <w:rFonts w:ascii="Times New Roman" w:hAnsi="Times New Roman"/>
          <w:sz w:val="20"/>
          <w:szCs w:val="20"/>
          <w:lang w:eastAsia="es-ES"/>
        </w:rPr>
        <w:t xml:space="preserve"> pueden generar una notable oposición social a estos proyectos, alimentando a su vez la desconfianza hacia las instituciones responsables de su gestión y limitando la participación pública en los procesos de planificación y evaluación ambiental </w:t>
      </w:r>
      <w:r w:rsidR="00A05BF2">
        <w:rPr>
          <w:rFonts w:ascii="Times New Roman" w:hAnsi="Times New Roman"/>
          <w:sz w:val="20"/>
          <w:szCs w:val="20"/>
          <w:lang w:eastAsia="es-ES"/>
        </w:rPr>
        <w:t>(</w:t>
      </w:r>
      <w:r w:rsidR="00A05BF2" w:rsidRPr="00A05BF2">
        <w:rPr>
          <w:rFonts w:ascii="Times New Roman" w:hAnsi="Times New Roman"/>
          <w:sz w:val="20"/>
          <w:szCs w:val="20"/>
          <w:lang w:eastAsia="es-ES"/>
        </w:rPr>
        <w:t>Heck et al., 2018</w:t>
      </w:r>
      <w:r w:rsidR="00A05BF2">
        <w:rPr>
          <w:rFonts w:ascii="Times New Roman" w:hAnsi="Times New Roman"/>
          <w:sz w:val="20"/>
          <w:szCs w:val="20"/>
          <w:lang w:eastAsia="es-ES"/>
        </w:rPr>
        <w:t xml:space="preserve">; Ktori et al., 2024). </w:t>
      </w:r>
      <w:r w:rsidRPr="00C57DAC">
        <w:rPr>
          <w:rFonts w:ascii="Times New Roman" w:hAnsi="Times New Roman"/>
          <w:sz w:val="20"/>
          <w:szCs w:val="20"/>
          <w:lang w:eastAsia="es-ES"/>
        </w:rPr>
        <w:t>Además, la ausencia de herramientas integradoras que evalúen simultáneamente las dimensiones física, económica y social de la sostenibilidad limita la capacidad de los actores locales para tomar decisiones informadas (Martínez-Valderrama et al., 2023).</w:t>
      </w:r>
    </w:p>
    <w:p w14:paraId="72594082" w14:textId="3AE0F41E" w:rsidR="00460F49" w:rsidRDefault="00460F49" w:rsidP="00D63F9F">
      <w:pPr>
        <w:spacing w:after="0" w:line="240" w:lineRule="auto"/>
        <w:jc w:val="both"/>
        <w:rPr>
          <w:rFonts w:ascii="Times New Roman" w:hAnsi="Times New Roman"/>
          <w:iCs/>
          <w:snapToGrid w:val="0"/>
          <w:sz w:val="20"/>
          <w:szCs w:val="20"/>
          <w:lang w:eastAsia="es-ES"/>
        </w:rPr>
      </w:pPr>
      <w:r w:rsidRPr="00460F49">
        <w:rPr>
          <w:rFonts w:ascii="Times New Roman" w:hAnsi="Times New Roman"/>
          <w:iCs/>
          <w:snapToGrid w:val="0"/>
          <w:sz w:val="20"/>
          <w:szCs w:val="20"/>
          <w:lang w:eastAsia="es-ES"/>
        </w:rPr>
        <w:t>En este contexto, el presente trabajo propone el desarrollo del índice SEWEF (Socio-Economic and Water-Energy-Food), un indicador compuesto que integra siete variables físico-productivas y socioeconómicas aplicadas a ocho cultivos durante once campañas agrícolas (2010/2011–2020/2021). La metodología empleada incluye la técnica CRITIC para la asignación objetiva de pesos y un análisis de varianza (ANOVA) para identificar diferencias significativas entre cultivos. El objetivo principal es proporcionar una herramienta cuantitativa y replicable que facilite la toma de decisiones en sistemas agrícolas intensivos, contribuyendo así a la sostenibilidad y resiliencia del modelo productivo de Almería.</w:t>
      </w:r>
    </w:p>
    <w:p w14:paraId="1E6880AF" w14:textId="77777777" w:rsidR="00F309DF" w:rsidRPr="00C229FC" w:rsidRDefault="00F309DF" w:rsidP="00D63F9F">
      <w:pPr>
        <w:spacing w:after="0" w:line="240" w:lineRule="auto"/>
        <w:jc w:val="both"/>
        <w:rPr>
          <w:rFonts w:ascii="Times New Roman" w:hAnsi="Times New Roman"/>
          <w:iCs/>
          <w:snapToGrid w:val="0"/>
          <w:sz w:val="20"/>
          <w:szCs w:val="20"/>
          <w:lang w:val="es-ES" w:eastAsia="es-ES"/>
        </w:rPr>
      </w:pPr>
    </w:p>
    <w:p w14:paraId="3E2B3427" w14:textId="69C6B97A" w:rsidR="008419E8" w:rsidRPr="00F07B1A" w:rsidRDefault="008419E8" w:rsidP="00F07B1A">
      <w:pPr>
        <w:spacing w:after="60" w:line="240" w:lineRule="auto"/>
        <w:jc w:val="both"/>
        <w:rPr>
          <w:rFonts w:ascii="Times New Roman" w:hAnsi="Times New Roman"/>
          <w:sz w:val="20"/>
          <w:szCs w:val="20"/>
          <w:lang w:val="es-ES" w:eastAsia="es-ES"/>
        </w:rPr>
      </w:pPr>
      <w:r w:rsidRPr="00190917">
        <w:rPr>
          <w:rFonts w:ascii="Times New Roman" w:hAnsi="Times New Roman"/>
          <w:b/>
          <w:bCs/>
          <w:sz w:val="20"/>
          <w:szCs w:val="20"/>
          <w:lang w:val="es-ES" w:eastAsia="es-ES"/>
        </w:rPr>
        <w:t>2. Metodología</w:t>
      </w:r>
    </w:p>
    <w:p w14:paraId="7775C7A9" w14:textId="77777777" w:rsidR="00114B13" w:rsidRPr="00114B13" w:rsidRDefault="00114B13" w:rsidP="00114B13">
      <w:pPr>
        <w:spacing w:after="0" w:line="240" w:lineRule="auto"/>
        <w:jc w:val="both"/>
        <w:rPr>
          <w:rFonts w:ascii="Times New Roman" w:hAnsi="Times New Roman"/>
          <w:sz w:val="20"/>
          <w:szCs w:val="20"/>
          <w:lang w:val="es-ES" w:eastAsia="es-ES"/>
        </w:rPr>
      </w:pPr>
      <w:r w:rsidRPr="00114B13">
        <w:rPr>
          <w:rFonts w:ascii="Times New Roman" w:hAnsi="Times New Roman"/>
          <w:sz w:val="20"/>
          <w:szCs w:val="20"/>
          <w:lang w:val="es-ES" w:eastAsia="es-ES"/>
        </w:rPr>
        <w:t xml:space="preserve">Con el objetivo de analizar la existencia de diferencias estadísticamente significativas en el comportamiento sostenible de los cultivos hortícolas protegidos de Almería, se formularon las siguientes hipótesis para ser </w:t>
      </w:r>
      <w:r w:rsidRPr="00114B13">
        <w:rPr>
          <w:rFonts w:ascii="Times New Roman" w:hAnsi="Times New Roman"/>
          <w:sz w:val="20"/>
          <w:szCs w:val="20"/>
          <w:lang w:val="es-ES" w:eastAsia="es-ES"/>
        </w:rPr>
        <w:lastRenderedPageBreak/>
        <w:t>contrastadas mediante un análisis de varianza (ANOVA unidireccional), basado en los valores del índice SEWEF:</w:t>
      </w:r>
    </w:p>
    <w:p w14:paraId="7C79A2DD" w14:textId="01BB2C6A" w:rsidR="00114B13" w:rsidRPr="00114B13" w:rsidRDefault="00114B13" w:rsidP="005E5C13">
      <w:pPr>
        <w:numPr>
          <w:ilvl w:val="0"/>
          <w:numId w:val="3"/>
        </w:numPr>
        <w:spacing w:after="60" w:line="240" w:lineRule="auto"/>
        <w:ind w:left="714" w:hanging="357"/>
        <w:jc w:val="both"/>
        <w:rPr>
          <w:rFonts w:ascii="Times New Roman" w:hAnsi="Times New Roman"/>
          <w:sz w:val="20"/>
          <w:szCs w:val="20"/>
          <w:lang w:val="es-ES" w:eastAsia="es-ES"/>
        </w:rPr>
      </w:pPr>
      <w:r w:rsidRPr="00114B13">
        <w:rPr>
          <w:rFonts w:ascii="Times New Roman" w:hAnsi="Times New Roman"/>
          <w:i/>
          <w:iCs/>
          <w:sz w:val="20"/>
          <w:szCs w:val="20"/>
          <w:lang w:val="es-ES" w:eastAsia="es-ES"/>
        </w:rPr>
        <w:t>H</w:t>
      </w:r>
      <w:r w:rsidRPr="00114B13">
        <w:rPr>
          <w:rFonts w:ascii="Times New Roman" w:hAnsi="Times New Roman"/>
          <w:sz w:val="20"/>
          <w:szCs w:val="20"/>
          <w:vertAlign w:val="subscript"/>
          <w:lang w:val="es-ES" w:eastAsia="es-ES"/>
        </w:rPr>
        <w:t>0</w:t>
      </w:r>
      <w:r w:rsidRPr="00114B13">
        <w:rPr>
          <w:rFonts w:ascii="Times New Roman" w:hAnsi="Times New Roman"/>
          <w:sz w:val="20"/>
          <w:szCs w:val="20"/>
          <w:lang w:val="es-ES" w:eastAsia="es-ES"/>
        </w:rPr>
        <w:t>:</w:t>
      </w:r>
      <w:r w:rsidRPr="00F07B1A">
        <w:rPr>
          <w:rFonts w:ascii="Times New Roman" w:hAnsi="Times New Roman"/>
          <w:sz w:val="20"/>
          <w:szCs w:val="20"/>
          <w:lang w:val="es-ES" w:eastAsia="es-ES"/>
        </w:rPr>
        <w:t xml:space="preserve"> </w:t>
      </w:r>
      <w:r w:rsidRPr="00114B13">
        <w:rPr>
          <w:rFonts w:ascii="Times New Roman" w:hAnsi="Times New Roman"/>
          <w:sz w:val="20"/>
          <w:szCs w:val="20"/>
          <w:lang w:val="es-ES" w:eastAsia="es-ES"/>
        </w:rPr>
        <w:t>No existen diferencias estadísticamente significativas en el índice SEWEF entre los distintos cultivos analizados.</w:t>
      </w:r>
    </w:p>
    <w:p w14:paraId="6169FDE1" w14:textId="68A40DFF" w:rsidR="00114B13" w:rsidRPr="00114B13" w:rsidRDefault="00114B13" w:rsidP="00D63F9F">
      <w:pPr>
        <w:numPr>
          <w:ilvl w:val="0"/>
          <w:numId w:val="3"/>
        </w:numPr>
        <w:spacing w:after="60" w:line="240" w:lineRule="auto"/>
        <w:ind w:left="714" w:hanging="357"/>
        <w:jc w:val="both"/>
        <w:rPr>
          <w:rFonts w:ascii="Times New Roman" w:hAnsi="Times New Roman"/>
          <w:sz w:val="20"/>
          <w:szCs w:val="20"/>
          <w:lang w:val="es-ES" w:eastAsia="es-ES"/>
        </w:rPr>
      </w:pPr>
      <w:r w:rsidRPr="00114B13">
        <w:rPr>
          <w:rFonts w:ascii="Times New Roman" w:hAnsi="Times New Roman"/>
          <w:i/>
          <w:iCs/>
          <w:sz w:val="20"/>
          <w:szCs w:val="20"/>
          <w:lang w:val="es-ES" w:eastAsia="es-ES"/>
        </w:rPr>
        <w:t>H</w:t>
      </w:r>
      <w:r w:rsidRPr="00114B13">
        <w:rPr>
          <w:rFonts w:ascii="Times New Roman" w:hAnsi="Times New Roman"/>
          <w:sz w:val="20"/>
          <w:szCs w:val="20"/>
          <w:vertAlign w:val="subscript"/>
          <w:lang w:val="es-ES" w:eastAsia="es-ES"/>
        </w:rPr>
        <w:t>1</w:t>
      </w:r>
      <w:r w:rsidRPr="00114B13">
        <w:rPr>
          <w:rFonts w:ascii="Times New Roman" w:hAnsi="Times New Roman"/>
          <w:sz w:val="20"/>
          <w:szCs w:val="20"/>
          <w:lang w:val="es-ES" w:eastAsia="es-ES"/>
        </w:rPr>
        <w:t>:</w:t>
      </w:r>
      <w:r w:rsidRPr="00F07B1A">
        <w:rPr>
          <w:rFonts w:ascii="Times New Roman" w:hAnsi="Times New Roman"/>
          <w:sz w:val="20"/>
          <w:szCs w:val="20"/>
          <w:lang w:val="es-ES" w:eastAsia="es-ES"/>
        </w:rPr>
        <w:t xml:space="preserve"> </w:t>
      </w:r>
      <w:r w:rsidRPr="00114B13">
        <w:rPr>
          <w:rFonts w:ascii="Times New Roman" w:hAnsi="Times New Roman"/>
          <w:sz w:val="20"/>
          <w:szCs w:val="20"/>
          <w:lang w:val="es-ES" w:eastAsia="es-ES"/>
        </w:rPr>
        <w:t>Existen diferencias estadísticamente significativas en el índice SEWEF entre al menos dos cultivos.</w:t>
      </w:r>
    </w:p>
    <w:p w14:paraId="3A3D9BD9" w14:textId="77777777" w:rsidR="00114B13" w:rsidRPr="00114B13" w:rsidRDefault="00114B13" w:rsidP="00D63F9F">
      <w:pPr>
        <w:spacing w:after="60" w:line="240" w:lineRule="auto"/>
        <w:jc w:val="both"/>
        <w:rPr>
          <w:rFonts w:ascii="Times New Roman" w:hAnsi="Times New Roman"/>
          <w:sz w:val="20"/>
          <w:szCs w:val="20"/>
          <w:lang w:val="es-ES" w:eastAsia="es-ES"/>
        </w:rPr>
      </w:pPr>
      <w:r w:rsidRPr="00114B13">
        <w:rPr>
          <w:rFonts w:ascii="Times New Roman" w:hAnsi="Times New Roman"/>
          <w:sz w:val="20"/>
          <w:szCs w:val="20"/>
          <w:lang w:val="es-ES" w:eastAsia="es-ES"/>
        </w:rPr>
        <w:t>La validación de estas hipótesis permite valorar la capacidad discriminante del índice propuesto, así como identificar cultivos con mejor o peor comportamiento relativo desde una perspectiva integral de sostenibilidad.</w:t>
      </w:r>
    </w:p>
    <w:p w14:paraId="3C6CFE46" w14:textId="78BE9580" w:rsidR="00CF1EDF" w:rsidRDefault="00C0385A" w:rsidP="00D63F9F">
      <w:pPr>
        <w:spacing w:after="60" w:line="240" w:lineRule="auto"/>
        <w:jc w:val="both"/>
        <w:rPr>
          <w:rFonts w:ascii="Times New Roman" w:hAnsi="Times New Roman"/>
          <w:sz w:val="20"/>
          <w:szCs w:val="20"/>
          <w:lang w:val="es-ES" w:eastAsia="es-ES"/>
        </w:rPr>
      </w:pPr>
      <w:r w:rsidRPr="00C0385A">
        <w:rPr>
          <w:rFonts w:ascii="Times New Roman" w:hAnsi="Times New Roman"/>
          <w:sz w:val="20"/>
          <w:szCs w:val="20"/>
          <w:lang w:eastAsia="es-ES"/>
        </w:rPr>
        <w:t>La selección y diseño de los indicadores responde a la necesidad de evaluar la sostenibilidad del sistema hortícola intensivo desde una perspectiva multidimensional, tal y como se ha defendido en trabajos recientes como Correa-Porcel et al. (2025)</w:t>
      </w:r>
      <w:r w:rsidR="00F07B1A" w:rsidRPr="00C0385A">
        <w:rPr>
          <w:rFonts w:ascii="Times New Roman" w:hAnsi="Times New Roman"/>
          <w:sz w:val="20"/>
          <w:szCs w:val="20"/>
          <w:lang w:val="es-ES" w:eastAsia="es-ES"/>
        </w:rPr>
        <w:t xml:space="preserve">. </w:t>
      </w:r>
      <w:r w:rsidR="00D664B6" w:rsidRPr="00C0385A">
        <w:rPr>
          <w:rFonts w:ascii="Times New Roman" w:hAnsi="Times New Roman"/>
          <w:sz w:val="20"/>
          <w:szCs w:val="20"/>
          <w:lang w:val="es-ES" w:eastAsia="es-ES"/>
        </w:rPr>
        <w:t xml:space="preserve">El Cuadro 1 incluye la descripción y las características de los distintos indicadores utilizados. </w:t>
      </w:r>
      <w:r w:rsidR="00CF1EDF" w:rsidRPr="00C0385A">
        <w:rPr>
          <w:rFonts w:ascii="Times New Roman" w:hAnsi="Times New Roman"/>
          <w:sz w:val="20"/>
          <w:szCs w:val="20"/>
          <w:lang w:eastAsia="es-ES"/>
        </w:rPr>
        <w:t xml:space="preserve">Se asignaron </w:t>
      </w:r>
      <w:r w:rsidR="00CF1EDF" w:rsidRPr="00CF1EDF">
        <w:rPr>
          <w:rFonts w:ascii="Times New Roman" w:hAnsi="Times New Roman"/>
          <w:sz w:val="20"/>
          <w:szCs w:val="20"/>
          <w:lang w:eastAsia="es-ES"/>
        </w:rPr>
        <w:t>signos positivos (+) o negativos (−) a cada indicador para reflejar su efecto deseado sobre la sostenibilidad, facilitando la correcta interpretación en el proceso de normalización y en el cálculo posterior del índice compuesto.</w:t>
      </w:r>
    </w:p>
    <w:p w14:paraId="13B21235" w14:textId="1FE15848" w:rsidR="0099769B" w:rsidRPr="0099769B" w:rsidRDefault="0099769B" w:rsidP="00D63F9F">
      <w:pPr>
        <w:spacing w:after="60" w:line="240" w:lineRule="auto"/>
        <w:jc w:val="center"/>
        <w:rPr>
          <w:rFonts w:ascii="Times New Roman" w:hAnsi="Times New Roman"/>
          <w:i/>
          <w:iCs/>
          <w:sz w:val="20"/>
          <w:szCs w:val="20"/>
          <w:lang w:val="es-ES" w:eastAsia="es-ES"/>
        </w:rPr>
      </w:pPr>
      <w:r w:rsidRPr="00EE0FBB">
        <w:rPr>
          <w:rFonts w:ascii="Times New Roman" w:hAnsi="Times New Roman"/>
          <w:b/>
          <w:bCs/>
          <w:sz w:val="20"/>
          <w:szCs w:val="20"/>
          <w:lang w:val="es-ES" w:eastAsia="es-ES"/>
        </w:rPr>
        <w:t>Cuadro 1.</w:t>
      </w:r>
      <w:r w:rsidRPr="00EE0FBB">
        <w:rPr>
          <w:rFonts w:ascii="Times New Roman" w:hAnsi="Times New Roman"/>
          <w:sz w:val="20"/>
          <w:szCs w:val="20"/>
          <w:lang w:val="es-ES" w:eastAsia="es-ES"/>
        </w:rPr>
        <w:t xml:space="preserve"> </w:t>
      </w:r>
      <w:r w:rsidRPr="00EE0FBB">
        <w:rPr>
          <w:rFonts w:ascii="Times New Roman" w:hAnsi="Times New Roman"/>
          <w:i/>
          <w:iCs/>
          <w:sz w:val="20"/>
          <w:szCs w:val="20"/>
          <w:lang w:val="es-ES" w:eastAsia="es-ES"/>
        </w:rPr>
        <w:t>Características de los indicadores empleados</w:t>
      </w:r>
    </w:p>
    <w:p w14:paraId="2F95053F" w14:textId="102B376D" w:rsidR="0054275E" w:rsidRPr="002A57CF" w:rsidRDefault="002A57CF" w:rsidP="00D63F9F">
      <w:pPr>
        <w:spacing w:after="60" w:line="240" w:lineRule="auto"/>
        <w:jc w:val="center"/>
        <w:rPr>
          <w:rFonts w:ascii="Times New Roman" w:hAnsi="Times New Roman"/>
          <w:sz w:val="20"/>
          <w:szCs w:val="20"/>
          <w:lang w:val="es-ES" w:eastAsia="es-ES"/>
        </w:rPr>
      </w:pPr>
      <w:r w:rsidRPr="002A57CF">
        <w:rPr>
          <w:noProof/>
        </w:rPr>
        <w:drawing>
          <wp:inline distT="0" distB="0" distL="0" distR="0" wp14:anchorId="74B90F85" wp14:editId="70841142">
            <wp:extent cx="5400040" cy="1894840"/>
            <wp:effectExtent l="0" t="0" r="0" b="0"/>
            <wp:docPr id="14450892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894840"/>
                    </a:xfrm>
                    <a:prstGeom prst="rect">
                      <a:avLst/>
                    </a:prstGeom>
                    <a:noFill/>
                    <a:ln>
                      <a:noFill/>
                    </a:ln>
                  </pic:spPr>
                </pic:pic>
              </a:graphicData>
            </a:graphic>
          </wp:inline>
        </w:drawing>
      </w:r>
    </w:p>
    <w:p w14:paraId="6C39D877" w14:textId="77777777" w:rsidR="0099769B" w:rsidRPr="00EE0FBB" w:rsidRDefault="0099769B" w:rsidP="00D63F9F">
      <w:pPr>
        <w:spacing w:after="60" w:line="240" w:lineRule="auto"/>
        <w:jc w:val="both"/>
        <w:rPr>
          <w:rFonts w:ascii="Times New Roman" w:hAnsi="Times New Roman"/>
          <w:sz w:val="20"/>
          <w:szCs w:val="20"/>
          <w:lang w:val="es-ES" w:eastAsia="es-ES"/>
        </w:rPr>
      </w:pPr>
      <w:r w:rsidRPr="00EE0FBB">
        <w:rPr>
          <w:rFonts w:ascii="Times New Roman" w:hAnsi="Times New Roman"/>
          <w:sz w:val="20"/>
          <w:szCs w:val="20"/>
          <w:lang w:val="es-ES" w:eastAsia="es-ES"/>
        </w:rPr>
        <w:t xml:space="preserve">Fuente: </w:t>
      </w:r>
      <w:r>
        <w:rPr>
          <w:rFonts w:ascii="Times New Roman" w:hAnsi="Times New Roman"/>
          <w:i/>
          <w:iCs/>
          <w:sz w:val="20"/>
          <w:szCs w:val="20"/>
          <w:lang w:val="es-ES" w:eastAsia="es-ES"/>
        </w:rPr>
        <w:t>Correa-Porcel et al. (2025)</w:t>
      </w:r>
      <w:r w:rsidRPr="00EE0FBB">
        <w:rPr>
          <w:rFonts w:ascii="Times New Roman" w:hAnsi="Times New Roman"/>
          <w:sz w:val="20"/>
          <w:szCs w:val="20"/>
          <w:lang w:val="es-ES" w:eastAsia="es-ES"/>
        </w:rPr>
        <w:t>.</w:t>
      </w:r>
    </w:p>
    <w:p w14:paraId="67B357D7" w14:textId="302CB637" w:rsidR="005B64AB" w:rsidRDefault="006D73D1" w:rsidP="00D63F9F">
      <w:pPr>
        <w:spacing w:after="60" w:line="240" w:lineRule="auto"/>
        <w:jc w:val="both"/>
        <w:rPr>
          <w:rFonts w:ascii="Times New Roman" w:hAnsi="Times New Roman"/>
          <w:sz w:val="20"/>
          <w:szCs w:val="20"/>
          <w:lang w:eastAsia="es-ES"/>
        </w:rPr>
      </w:pPr>
      <w:r w:rsidRPr="006D73D1">
        <w:rPr>
          <w:rFonts w:ascii="Times New Roman" w:hAnsi="Times New Roman"/>
          <w:sz w:val="20"/>
          <w:szCs w:val="20"/>
          <w:lang w:eastAsia="es-ES"/>
        </w:rPr>
        <w:t>Tras la selección y descripción de los siete indicadores clave utilizados para construir el índice SEWEF, se procedió a</w:t>
      </w:r>
      <w:r w:rsidR="00457F5F">
        <w:rPr>
          <w:rFonts w:ascii="Times New Roman" w:hAnsi="Times New Roman"/>
          <w:sz w:val="20"/>
          <w:szCs w:val="20"/>
          <w:lang w:eastAsia="es-ES"/>
        </w:rPr>
        <w:t xml:space="preserve"> realizar</w:t>
      </w:r>
      <w:r w:rsidRPr="006D73D1">
        <w:rPr>
          <w:rFonts w:ascii="Times New Roman" w:hAnsi="Times New Roman"/>
          <w:sz w:val="20"/>
          <w:szCs w:val="20"/>
          <w:lang w:eastAsia="es-ES"/>
        </w:rPr>
        <w:t xml:space="preserve"> una serie de análisis multietapa para garantizar la consistencia metodológica y la solidez de los resultados. En primer lugar, los indicadores fueron agrupados atendiendo a criterios estadísticos (coeficiente de correlación de Pearson), evitando la colinealidad extrema. Posteriormente, se aplicó una normalización mediante z-score, seguida de la asignación de pesos mediante el método CRITIC. A continuación, se integraron los indicadores en un único índice compuesto a través del método MCDM (suma ponderada). Finalmente, se aplicó un análisis ANOVA y una prueba post hoc (Tukey HSD) para evaluar la variabilidad estadística del índice SEWEF entre los distintos cultivos. El Cuadro 2 resume de forma sintética todas las etapas metodológicas.</w:t>
      </w:r>
    </w:p>
    <w:p w14:paraId="28F1EDDE" w14:textId="0B5A8589" w:rsidR="00AC3D18" w:rsidRPr="00AC3D18" w:rsidRDefault="00A77F9B" w:rsidP="00AC3D18">
      <w:pPr>
        <w:spacing w:after="60" w:line="240" w:lineRule="auto"/>
        <w:jc w:val="center"/>
        <w:rPr>
          <w:rFonts w:ascii="Times New Roman" w:hAnsi="Times New Roman"/>
          <w:i/>
          <w:iCs/>
          <w:color w:val="EE0000"/>
          <w:sz w:val="20"/>
          <w:szCs w:val="20"/>
          <w:lang w:eastAsia="es-ES"/>
        </w:rPr>
      </w:pPr>
      <w:r w:rsidRPr="00A77F9B">
        <w:rPr>
          <w:rFonts w:ascii="Times New Roman" w:hAnsi="Times New Roman"/>
          <w:b/>
          <w:bCs/>
          <w:sz w:val="20"/>
          <w:szCs w:val="20"/>
          <w:lang w:eastAsia="es-ES"/>
        </w:rPr>
        <w:t>Cuadro 2</w:t>
      </w:r>
      <w:r w:rsidRPr="006D73D1">
        <w:rPr>
          <w:rFonts w:ascii="Times New Roman" w:hAnsi="Times New Roman"/>
          <w:b/>
          <w:bCs/>
          <w:sz w:val="20"/>
          <w:szCs w:val="20"/>
          <w:lang w:eastAsia="es-ES"/>
        </w:rPr>
        <w:t>.</w:t>
      </w:r>
      <w:r w:rsidRPr="006D73D1">
        <w:rPr>
          <w:rFonts w:ascii="Times New Roman" w:hAnsi="Times New Roman"/>
          <w:sz w:val="20"/>
          <w:szCs w:val="20"/>
          <w:lang w:eastAsia="es-ES"/>
        </w:rPr>
        <w:t xml:space="preserve"> </w:t>
      </w:r>
      <w:r w:rsidRPr="006D73D1">
        <w:rPr>
          <w:rFonts w:ascii="Times New Roman" w:hAnsi="Times New Roman"/>
          <w:i/>
          <w:iCs/>
          <w:sz w:val="20"/>
          <w:szCs w:val="20"/>
          <w:lang w:eastAsia="es-ES"/>
        </w:rPr>
        <w:t>Etapas del procedimiento estadístico aplicado al índice SEWEF</w:t>
      </w:r>
    </w:p>
    <w:p w14:paraId="0D99F3B2" w14:textId="2DABD76B" w:rsidR="00096F07" w:rsidRDefault="002A57CF" w:rsidP="00096F07">
      <w:pPr>
        <w:spacing w:after="60" w:line="240" w:lineRule="auto"/>
        <w:jc w:val="center"/>
        <w:rPr>
          <w:rFonts w:ascii="Times New Roman" w:hAnsi="Times New Roman"/>
          <w:color w:val="FF0000"/>
          <w:sz w:val="20"/>
          <w:szCs w:val="20"/>
          <w:lang w:eastAsia="es-ES"/>
        </w:rPr>
      </w:pPr>
      <w:bookmarkStart w:id="1" w:name="_Hlk198461936"/>
      <w:r w:rsidRPr="002A57CF">
        <w:rPr>
          <w:noProof/>
        </w:rPr>
        <w:drawing>
          <wp:inline distT="0" distB="0" distL="0" distR="0" wp14:anchorId="7C08DB44" wp14:editId="0C0AB79B">
            <wp:extent cx="5400040" cy="1473200"/>
            <wp:effectExtent l="0" t="0" r="0" b="0"/>
            <wp:docPr id="1367485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473200"/>
                    </a:xfrm>
                    <a:prstGeom prst="rect">
                      <a:avLst/>
                    </a:prstGeom>
                    <a:noFill/>
                    <a:ln>
                      <a:noFill/>
                    </a:ln>
                  </pic:spPr>
                </pic:pic>
              </a:graphicData>
            </a:graphic>
          </wp:inline>
        </w:drawing>
      </w:r>
    </w:p>
    <w:p w14:paraId="53D4475D" w14:textId="34C8921B" w:rsidR="005B64AB" w:rsidRDefault="000F092F" w:rsidP="00D63F9F">
      <w:pPr>
        <w:spacing w:after="60" w:line="240" w:lineRule="auto"/>
        <w:jc w:val="both"/>
        <w:rPr>
          <w:rFonts w:ascii="Times New Roman" w:hAnsi="Times New Roman"/>
          <w:sz w:val="20"/>
          <w:szCs w:val="20"/>
          <w:lang w:eastAsia="es-ES"/>
        </w:rPr>
      </w:pPr>
      <w:r>
        <w:rPr>
          <w:rFonts w:ascii="Times New Roman" w:hAnsi="Times New Roman"/>
          <w:sz w:val="20"/>
          <w:szCs w:val="20"/>
          <w:lang w:eastAsia="es-ES"/>
        </w:rPr>
        <w:t xml:space="preserve">Fuente: </w:t>
      </w:r>
      <w:r w:rsidR="00A77F9B" w:rsidRPr="00A77F9B">
        <w:rPr>
          <w:rFonts w:ascii="Times New Roman" w:hAnsi="Times New Roman"/>
          <w:i/>
          <w:iCs/>
          <w:sz w:val="20"/>
          <w:szCs w:val="20"/>
          <w:lang w:eastAsia="es-ES"/>
        </w:rPr>
        <w:t>E</w:t>
      </w:r>
      <w:r w:rsidRPr="00A77F9B">
        <w:rPr>
          <w:rFonts w:ascii="Times New Roman" w:hAnsi="Times New Roman"/>
          <w:i/>
          <w:iCs/>
          <w:sz w:val="20"/>
          <w:szCs w:val="20"/>
          <w:lang w:eastAsia="es-ES"/>
        </w:rPr>
        <w:t>laboración propia</w:t>
      </w:r>
      <w:r>
        <w:rPr>
          <w:rFonts w:ascii="Times New Roman" w:hAnsi="Times New Roman"/>
          <w:sz w:val="20"/>
          <w:szCs w:val="20"/>
          <w:lang w:eastAsia="es-ES"/>
        </w:rPr>
        <w:t>.</w:t>
      </w:r>
    </w:p>
    <w:bookmarkEnd w:id="1"/>
    <w:p w14:paraId="5A0141FF" w14:textId="29982F3B" w:rsidR="0054275E" w:rsidRDefault="00C0385A" w:rsidP="005E5C13">
      <w:pPr>
        <w:spacing w:after="60" w:line="240" w:lineRule="auto"/>
        <w:jc w:val="both"/>
        <w:rPr>
          <w:rFonts w:ascii="Times New Roman" w:hAnsi="Times New Roman"/>
          <w:sz w:val="20"/>
          <w:szCs w:val="20"/>
          <w:lang w:eastAsia="es-ES"/>
        </w:rPr>
      </w:pPr>
      <w:r w:rsidRPr="00C0385A">
        <w:rPr>
          <w:rFonts w:ascii="Times New Roman" w:hAnsi="Times New Roman"/>
          <w:sz w:val="20"/>
          <w:szCs w:val="20"/>
          <w:lang w:eastAsia="es-ES"/>
        </w:rPr>
        <w:t xml:space="preserve">Todos los cálculos estadísticos, procedimientos de normalización y análisis multivariante (coeficiente de correlación de Pearson, método CRITIC, MCDM y ANOVA) fueron realizados </w:t>
      </w:r>
      <w:r w:rsidR="00457F5F">
        <w:rPr>
          <w:rFonts w:ascii="Times New Roman" w:hAnsi="Times New Roman"/>
          <w:sz w:val="20"/>
          <w:szCs w:val="20"/>
          <w:lang w:eastAsia="es-ES"/>
        </w:rPr>
        <w:t>con</w:t>
      </w:r>
      <w:r w:rsidRPr="00C0385A">
        <w:rPr>
          <w:rFonts w:ascii="Times New Roman" w:hAnsi="Times New Roman"/>
          <w:sz w:val="20"/>
          <w:szCs w:val="20"/>
          <w:lang w:eastAsia="es-ES"/>
        </w:rPr>
        <w:t xml:space="preserve"> el software R (versión 4.5.0)</w:t>
      </w:r>
      <w:r w:rsidR="00457F5F">
        <w:rPr>
          <w:rFonts w:ascii="Times New Roman" w:hAnsi="Times New Roman"/>
          <w:sz w:val="20"/>
          <w:szCs w:val="20"/>
          <w:lang w:eastAsia="es-ES"/>
        </w:rPr>
        <w:t>,</w:t>
      </w:r>
      <w:r w:rsidRPr="00C0385A">
        <w:rPr>
          <w:rFonts w:ascii="Times New Roman" w:hAnsi="Times New Roman"/>
          <w:sz w:val="20"/>
          <w:szCs w:val="20"/>
          <w:lang w:eastAsia="es-ES"/>
        </w:rPr>
        <w:t xml:space="preserve"> mediante scripts diseñados específicamente para este estudio. El procesamiento inicial de datos y la organización de las matrices se llevaron a </w:t>
      </w:r>
      <w:r w:rsidRPr="005B64AB">
        <w:rPr>
          <w:rFonts w:ascii="Times New Roman" w:hAnsi="Times New Roman"/>
          <w:sz w:val="20"/>
          <w:szCs w:val="20"/>
          <w:lang w:eastAsia="es-ES"/>
        </w:rPr>
        <w:t xml:space="preserve">cabo en </w:t>
      </w:r>
      <w:r w:rsidR="005B64AB" w:rsidRPr="005B64AB">
        <w:rPr>
          <w:rFonts w:ascii="Times New Roman" w:hAnsi="Times New Roman"/>
          <w:sz w:val="20"/>
          <w:szCs w:val="20"/>
          <w:lang w:eastAsia="es-ES"/>
        </w:rPr>
        <w:t xml:space="preserve">Microsoft </w:t>
      </w:r>
      <w:r w:rsidRPr="005B64AB">
        <w:rPr>
          <w:rFonts w:ascii="Times New Roman" w:hAnsi="Times New Roman"/>
          <w:sz w:val="20"/>
          <w:szCs w:val="20"/>
          <w:lang w:eastAsia="es-ES"/>
        </w:rPr>
        <w:t>Excel (</w:t>
      </w:r>
      <w:r w:rsidR="005B64AB" w:rsidRPr="005B64AB">
        <w:rPr>
          <w:rFonts w:ascii="Times New Roman" w:hAnsi="Times New Roman"/>
          <w:sz w:val="20"/>
          <w:szCs w:val="20"/>
          <w:lang w:eastAsia="es-ES"/>
        </w:rPr>
        <w:t xml:space="preserve">Microsoft </w:t>
      </w:r>
      <w:r w:rsidRPr="005B64AB">
        <w:rPr>
          <w:rFonts w:ascii="Times New Roman" w:hAnsi="Times New Roman"/>
          <w:sz w:val="20"/>
          <w:szCs w:val="20"/>
          <w:lang w:eastAsia="es-ES"/>
        </w:rPr>
        <w:t>365).</w:t>
      </w:r>
    </w:p>
    <w:p w14:paraId="4F553BB0" w14:textId="77777777" w:rsidR="00EB375B" w:rsidRPr="005B64AB" w:rsidRDefault="00EB375B" w:rsidP="005E5C13">
      <w:pPr>
        <w:spacing w:after="60" w:line="240" w:lineRule="auto"/>
        <w:jc w:val="both"/>
        <w:rPr>
          <w:rFonts w:ascii="Times New Roman" w:hAnsi="Times New Roman"/>
          <w:sz w:val="20"/>
          <w:szCs w:val="20"/>
          <w:lang w:eastAsia="es-ES"/>
        </w:rPr>
      </w:pPr>
    </w:p>
    <w:p w14:paraId="539EB1D8" w14:textId="77777777" w:rsidR="00E37F34" w:rsidRDefault="00E37F34" w:rsidP="008419E8">
      <w:pPr>
        <w:spacing w:after="0" w:line="240" w:lineRule="auto"/>
        <w:jc w:val="both"/>
        <w:rPr>
          <w:rFonts w:ascii="Times New Roman" w:hAnsi="Times New Roman"/>
          <w:color w:val="FF0000"/>
          <w:sz w:val="20"/>
          <w:szCs w:val="20"/>
          <w:lang w:val="es-ES" w:eastAsia="es-ES"/>
        </w:rPr>
      </w:pPr>
    </w:p>
    <w:p w14:paraId="72CC38C6" w14:textId="64EF83C3" w:rsidR="005B64AB" w:rsidRDefault="006D73D1" w:rsidP="00E37F34">
      <w:pPr>
        <w:spacing w:after="60" w:line="240" w:lineRule="auto"/>
        <w:jc w:val="both"/>
        <w:rPr>
          <w:rFonts w:ascii="Times New Roman" w:hAnsi="Times New Roman"/>
          <w:sz w:val="20"/>
          <w:szCs w:val="20"/>
          <w:lang w:val="es-ES" w:eastAsia="es-ES"/>
        </w:rPr>
      </w:pPr>
      <w:r w:rsidRPr="00105F04">
        <w:rPr>
          <w:rFonts w:ascii="Times New Roman" w:hAnsi="Times New Roman"/>
          <w:b/>
          <w:bCs/>
          <w:sz w:val="20"/>
          <w:szCs w:val="20"/>
          <w:lang w:val="es-ES" w:eastAsia="es-ES"/>
        </w:rPr>
        <w:lastRenderedPageBreak/>
        <w:t xml:space="preserve">3. </w:t>
      </w:r>
      <w:r w:rsidR="000F092F" w:rsidRPr="00105F04">
        <w:rPr>
          <w:rFonts w:ascii="Times New Roman" w:hAnsi="Times New Roman"/>
          <w:b/>
          <w:bCs/>
          <w:sz w:val="20"/>
          <w:szCs w:val="20"/>
          <w:lang w:val="es-ES" w:eastAsia="es-ES"/>
        </w:rPr>
        <w:t>Resultados</w:t>
      </w:r>
      <w:r w:rsidR="000F092F" w:rsidRPr="00105F04">
        <w:rPr>
          <w:rFonts w:ascii="Times New Roman" w:hAnsi="Times New Roman"/>
          <w:sz w:val="20"/>
          <w:szCs w:val="20"/>
          <w:lang w:val="es-ES" w:eastAsia="es-ES"/>
        </w:rPr>
        <w:t xml:space="preserve"> </w:t>
      </w:r>
    </w:p>
    <w:p w14:paraId="163A697D" w14:textId="73818491" w:rsidR="00E37F34" w:rsidRPr="00E37F34" w:rsidRDefault="00E37F34" w:rsidP="005E5C13">
      <w:pPr>
        <w:spacing w:after="60" w:line="240" w:lineRule="auto"/>
        <w:jc w:val="center"/>
        <w:rPr>
          <w:rFonts w:ascii="Times New Roman" w:hAnsi="Times New Roman"/>
          <w:sz w:val="20"/>
          <w:szCs w:val="20"/>
          <w:lang w:eastAsia="es-ES"/>
        </w:rPr>
      </w:pPr>
      <w:r w:rsidRPr="00037A21">
        <w:rPr>
          <w:rFonts w:ascii="Times New Roman" w:hAnsi="Times New Roman"/>
          <w:b/>
          <w:bCs/>
          <w:sz w:val="20"/>
          <w:szCs w:val="20"/>
          <w:lang w:eastAsia="es-ES"/>
        </w:rPr>
        <w:t>Gráfico 1.</w:t>
      </w:r>
      <w:r w:rsidRPr="00037A21">
        <w:rPr>
          <w:rFonts w:ascii="Times New Roman" w:hAnsi="Times New Roman"/>
          <w:sz w:val="20"/>
          <w:szCs w:val="20"/>
          <w:lang w:eastAsia="es-ES"/>
        </w:rPr>
        <w:t xml:space="preserve"> </w:t>
      </w:r>
      <w:r w:rsidRPr="00037A21">
        <w:rPr>
          <w:rFonts w:ascii="Times New Roman" w:hAnsi="Times New Roman"/>
          <w:i/>
          <w:iCs/>
          <w:sz w:val="20"/>
          <w:szCs w:val="20"/>
          <w:lang w:eastAsia="es-ES"/>
        </w:rPr>
        <w:t>Comparación de medias del índice SEWEF entre cultivos mediante el test de Tukey HSD</w:t>
      </w:r>
    </w:p>
    <w:p w14:paraId="4652D194" w14:textId="77777777" w:rsidR="00037A21" w:rsidRDefault="00037A21" w:rsidP="005E5C13">
      <w:pPr>
        <w:spacing w:after="60" w:line="240" w:lineRule="auto"/>
        <w:jc w:val="center"/>
        <w:rPr>
          <w:rFonts w:ascii="Times New Roman" w:hAnsi="Times New Roman"/>
          <w:b/>
          <w:bCs/>
          <w:color w:val="FF0000"/>
          <w:sz w:val="20"/>
          <w:szCs w:val="20"/>
          <w:lang w:eastAsia="es-ES"/>
        </w:rPr>
      </w:pPr>
      <w:r>
        <w:rPr>
          <w:rFonts w:ascii="Times New Roman" w:hAnsi="Times New Roman"/>
          <w:b/>
          <w:bCs/>
          <w:noProof/>
          <w:color w:val="FF0000"/>
          <w:sz w:val="20"/>
          <w:szCs w:val="20"/>
          <w:lang w:eastAsia="es-ES"/>
        </w:rPr>
        <w:drawing>
          <wp:inline distT="0" distB="0" distL="0" distR="0" wp14:anchorId="25467028" wp14:editId="4CBB87BF">
            <wp:extent cx="2918691" cy="1878754"/>
            <wp:effectExtent l="0" t="0" r="0" b="7620"/>
            <wp:docPr id="635098540" name="Imagen 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98540" name="Imagen 2" descr="Gráfico&#10;&#10;El contenido generado por IA puede ser incorrecto."/>
                    <pic:cNvPicPr/>
                  </pic:nvPicPr>
                  <pic:blipFill>
                    <a:blip r:embed="rId11"/>
                    <a:stretch>
                      <a:fillRect/>
                    </a:stretch>
                  </pic:blipFill>
                  <pic:spPr>
                    <a:xfrm>
                      <a:off x="0" y="0"/>
                      <a:ext cx="2960821" cy="1905873"/>
                    </a:xfrm>
                    <a:prstGeom prst="rect">
                      <a:avLst/>
                    </a:prstGeom>
                  </pic:spPr>
                </pic:pic>
              </a:graphicData>
            </a:graphic>
          </wp:inline>
        </w:drawing>
      </w:r>
    </w:p>
    <w:p w14:paraId="7F57FAC2" w14:textId="4F9D0ACD" w:rsidR="00657EB1" w:rsidRPr="00037A21" w:rsidRDefault="00657EB1" w:rsidP="005E5C13">
      <w:pPr>
        <w:spacing w:after="60" w:line="240" w:lineRule="auto"/>
        <w:jc w:val="both"/>
        <w:rPr>
          <w:rFonts w:ascii="Times New Roman" w:hAnsi="Times New Roman"/>
          <w:sz w:val="20"/>
          <w:szCs w:val="20"/>
          <w:lang w:eastAsia="es-ES"/>
        </w:rPr>
      </w:pPr>
      <w:r w:rsidRPr="00037A21">
        <w:rPr>
          <w:rFonts w:ascii="Times New Roman" w:hAnsi="Times New Roman"/>
          <w:sz w:val="20"/>
          <w:szCs w:val="20"/>
          <w:lang w:eastAsia="es-ES"/>
        </w:rPr>
        <w:t xml:space="preserve">Fuente: </w:t>
      </w:r>
      <w:r w:rsidRPr="00037A21">
        <w:rPr>
          <w:rFonts w:ascii="Times New Roman" w:hAnsi="Times New Roman"/>
          <w:i/>
          <w:iCs/>
          <w:sz w:val="20"/>
          <w:szCs w:val="20"/>
          <w:lang w:eastAsia="es-ES"/>
        </w:rPr>
        <w:t>Elaboración propia</w:t>
      </w:r>
      <w:r w:rsidRPr="00037A21">
        <w:rPr>
          <w:rFonts w:ascii="Times New Roman" w:hAnsi="Times New Roman"/>
          <w:sz w:val="20"/>
          <w:szCs w:val="20"/>
          <w:lang w:eastAsia="es-ES"/>
        </w:rPr>
        <w:t>.</w:t>
      </w:r>
    </w:p>
    <w:p w14:paraId="65497237" w14:textId="7C9DE376" w:rsidR="00E22A3A" w:rsidRDefault="00F40003" w:rsidP="00E37F34">
      <w:pPr>
        <w:spacing w:after="60" w:line="240" w:lineRule="auto"/>
        <w:jc w:val="both"/>
        <w:rPr>
          <w:rFonts w:ascii="Times New Roman" w:hAnsi="Times New Roman"/>
          <w:sz w:val="20"/>
          <w:szCs w:val="20"/>
          <w:lang w:eastAsia="es-ES"/>
        </w:rPr>
      </w:pPr>
      <w:r w:rsidRPr="00037A21">
        <w:rPr>
          <w:rFonts w:ascii="Times New Roman" w:hAnsi="Times New Roman"/>
          <w:sz w:val="20"/>
          <w:szCs w:val="20"/>
          <w:lang w:eastAsia="es-ES"/>
        </w:rPr>
        <w:t xml:space="preserve">El cultivo </w:t>
      </w:r>
      <w:r w:rsidRPr="00EB3AB9">
        <w:rPr>
          <w:rFonts w:ascii="Times New Roman" w:hAnsi="Times New Roman"/>
          <w:sz w:val="20"/>
          <w:szCs w:val="20"/>
          <w:lang w:eastAsia="es-ES"/>
        </w:rPr>
        <w:t>de judía verde muestra</w:t>
      </w:r>
      <w:r w:rsidRPr="00037A21">
        <w:rPr>
          <w:rFonts w:ascii="Times New Roman" w:hAnsi="Times New Roman"/>
          <w:sz w:val="20"/>
          <w:szCs w:val="20"/>
          <w:lang w:eastAsia="es-ES"/>
        </w:rPr>
        <w:t xml:space="preserve"> diferencias estadísticamente significativas respecto a la mayoría del resto de cultivos, </w:t>
      </w:r>
      <w:r w:rsidR="00457F5F">
        <w:rPr>
          <w:rFonts w:ascii="Times New Roman" w:hAnsi="Times New Roman"/>
          <w:sz w:val="20"/>
          <w:szCs w:val="20"/>
          <w:lang w:eastAsia="es-ES"/>
        </w:rPr>
        <w:t>que tienen</w:t>
      </w:r>
      <w:r w:rsidRPr="00037A21">
        <w:rPr>
          <w:rFonts w:ascii="Times New Roman" w:hAnsi="Times New Roman"/>
          <w:sz w:val="20"/>
          <w:szCs w:val="20"/>
          <w:lang w:eastAsia="es-ES"/>
        </w:rPr>
        <w:t xml:space="preserve"> una puntuación considerablemente inferior en el índice SEWEF. </w:t>
      </w:r>
      <w:r w:rsidR="00EB3AB9">
        <w:rPr>
          <w:rFonts w:ascii="Times New Roman" w:hAnsi="Times New Roman"/>
          <w:sz w:val="20"/>
          <w:szCs w:val="20"/>
          <w:lang w:eastAsia="es-ES"/>
        </w:rPr>
        <w:t xml:space="preserve">Este cultivo, junto con el pimiento y el tomate, </w:t>
      </w:r>
      <w:r w:rsidRPr="00037A21">
        <w:rPr>
          <w:rFonts w:ascii="Times New Roman" w:hAnsi="Times New Roman"/>
          <w:sz w:val="20"/>
          <w:szCs w:val="20"/>
          <w:lang w:eastAsia="es-ES"/>
        </w:rPr>
        <w:t>conforman el grupo superior con mayores niveles de sostenibilidad según este índice. Este gráfico ofrece una visualización directa de las relaciones jerárquicas entre cultivos en función de su desempeño global.</w:t>
      </w:r>
    </w:p>
    <w:p w14:paraId="77C248AE" w14:textId="4AC79FF8" w:rsidR="00E37F34" w:rsidRPr="00E37F34" w:rsidRDefault="00E37F34" w:rsidP="005E5C13">
      <w:pPr>
        <w:spacing w:after="60" w:line="240" w:lineRule="auto"/>
        <w:jc w:val="center"/>
        <w:rPr>
          <w:rFonts w:ascii="Times New Roman" w:hAnsi="Times New Roman"/>
          <w:sz w:val="20"/>
          <w:szCs w:val="20"/>
          <w:lang w:val="es-ES" w:eastAsia="es-ES"/>
        </w:rPr>
      </w:pPr>
      <w:r w:rsidRPr="00744B3D">
        <w:rPr>
          <w:rFonts w:ascii="Times New Roman" w:hAnsi="Times New Roman"/>
          <w:b/>
          <w:bCs/>
          <w:sz w:val="20"/>
          <w:szCs w:val="20"/>
          <w:lang w:val="es-ES" w:eastAsia="es-ES"/>
        </w:rPr>
        <w:t>Gráfico 2.</w:t>
      </w:r>
      <w:r w:rsidRPr="00744B3D">
        <w:rPr>
          <w:rFonts w:ascii="Times New Roman" w:hAnsi="Times New Roman"/>
          <w:sz w:val="20"/>
          <w:szCs w:val="20"/>
          <w:lang w:val="es-ES" w:eastAsia="es-ES"/>
        </w:rPr>
        <w:t xml:space="preserve"> </w:t>
      </w:r>
      <w:r w:rsidRPr="00744B3D">
        <w:rPr>
          <w:rFonts w:ascii="Times New Roman" w:hAnsi="Times New Roman"/>
          <w:i/>
          <w:iCs/>
          <w:sz w:val="20"/>
          <w:szCs w:val="20"/>
          <w:lang w:val="es-ES" w:eastAsia="es-ES"/>
        </w:rPr>
        <w:t>Diagrama de cajas (</w:t>
      </w:r>
      <w:proofErr w:type="spellStart"/>
      <w:r w:rsidRPr="00744B3D">
        <w:rPr>
          <w:rFonts w:ascii="Times New Roman" w:hAnsi="Times New Roman"/>
          <w:i/>
          <w:iCs/>
          <w:sz w:val="20"/>
          <w:szCs w:val="20"/>
          <w:lang w:val="es-ES" w:eastAsia="es-ES"/>
        </w:rPr>
        <w:t>boxplot</w:t>
      </w:r>
      <w:proofErr w:type="spellEnd"/>
      <w:r w:rsidRPr="00744B3D">
        <w:rPr>
          <w:rFonts w:ascii="Times New Roman" w:hAnsi="Times New Roman"/>
          <w:i/>
          <w:iCs/>
          <w:sz w:val="20"/>
          <w:szCs w:val="20"/>
          <w:lang w:val="es-ES" w:eastAsia="es-ES"/>
        </w:rPr>
        <w:t>) del índice SEWEF agrupado por cultivo</w:t>
      </w:r>
    </w:p>
    <w:p w14:paraId="1015829F" w14:textId="32FB370C" w:rsidR="00F40003" w:rsidRPr="00037A21" w:rsidRDefault="00744B3D" w:rsidP="005E5C13">
      <w:pPr>
        <w:spacing w:after="60" w:line="240" w:lineRule="auto"/>
        <w:jc w:val="center"/>
        <w:rPr>
          <w:rFonts w:ascii="Times New Roman" w:hAnsi="Times New Roman"/>
          <w:b/>
          <w:bCs/>
          <w:sz w:val="20"/>
          <w:szCs w:val="20"/>
          <w:lang w:val="es-ES" w:eastAsia="es-ES"/>
        </w:rPr>
      </w:pPr>
      <w:r>
        <w:rPr>
          <w:rFonts w:ascii="Times New Roman" w:hAnsi="Times New Roman"/>
          <w:b/>
          <w:bCs/>
          <w:noProof/>
          <w:sz w:val="20"/>
          <w:szCs w:val="20"/>
          <w:lang w:val="es-ES" w:eastAsia="es-ES"/>
        </w:rPr>
        <w:drawing>
          <wp:inline distT="0" distB="0" distL="0" distR="0" wp14:anchorId="6A7B8566" wp14:editId="09AEB5A6">
            <wp:extent cx="2937164" cy="1722441"/>
            <wp:effectExtent l="0" t="0" r="0" b="0"/>
            <wp:docPr id="1467692510" name="Imagen 3"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92510" name="Imagen 3" descr="Gráfico, Gráfico de cajas y bigotes&#10;&#10;El contenido generado por IA puede ser incorrecto."/>
                    <pic:cNvPicPr/>
                  </pic:nvPicPr>
                  <pic:blipFill>
                    <a:blip r:embed="rId12"/>
                    <a:stretch>
                      <a:fillRect/>
                    </a:stretch>
                  </pic:blipFill>
                  <pic:spPr>
                    <a:xfrm>
                      <a:off x="0" y="0"/>
                      <a:ext cx="2974683" cy="1744443"/>
                    </a:xfrm>
                    <a:prstGeom prst="rect">
                      <a:avLst/>
                    </a:prstGeom>
                  </pic:spPr>
                </pic:pic>
              </a:graphicData>
            </a:graphic>
          </wp:inline>
        </w:drawing>
      </w:r>
    </w:p>
    <w:p w14:paraId="5B98039A" w14:textId="663C773E" w:rsidR="00657EB1" w:rsidRPr="00744B3D" w:rsidRDefault="00657EB1" w:rsidP="00E37F34">
      <w:pPr>
        <w:spacing w:after="60" w:line="240" w:lineRule="auto"/>
        <w:jc w:val="both"/>
        <w:rPr>
          <w:rFonts w:ascii="Times New Roman" w:hAnsi="Times New Roman"/>
          <w:sz w:val="20"/>
          <w:szCs w:val="20"/>
          <w:lang w:eastAsia="es-ES"/>
        </w:rPr>
      </w:pPr>
      <w:r w:rsidRPr="00744B3D">
        <w:rPr>
          <w:rFonts w:ascii="Times New Roman" w:hAnsi="Times New Roman"/>
          <w:sz w:val="20"/>
          <w:szCs w:val="20"/>
          <w:lang w:eastAsia="es-ES"/>
        </w:rPr>
        <w:t xml:space="preserve">Fuente: </w:t>
      </w:r>
      <w:r w:rsidRPr="00744B3D">
        <w:rPr>
          <w:rFonts w:ascii="Times New Roman" w:hAnsi="Times New Roman"/>
          <w:i/>
          <w:iCs/>
          <w:sz w:val="20"/>
          <w:szCs w:val="20"/>
          <w:lang w:eastAsia="es-ES"/>
        </w:rPr>
        <w:t>Elaboración propia</w:t>
      </w:r>
      <w:r w:rsidRPr="00744B3D">
        <w:rPr>
          <w:rFonts w:ascii="Times New Roman" w:hAnsi="Times New Roman"/>
          <w:sz w:val="20"/>
          <w:szCs w:val="20"/>
          <w:lang w:eastAsia="es-ES"/>
        </w:rPr>
        <w:t>.</w:t>
      </w:r>
    </w:p>
    <w:p w14:paraId="4BEF8E7C" w14:textId="4CAA6465" w:rsidR="00034C96" w:rsidRDefault="00034C96" w:rsidP="00E37F34">
      <w:pPr>
        <w:spacing w:after="60" w:line="240" w:lineRule="auto"/>
        <w:jc w:val="both"/>
        <w:rPr>
          <w:rFonts w:ascii="Times New Roman" w:hAnsi="Times New Roman"/>
          <w:sz w:val="20"/>
          <w:szCs w:val="20"/>
          <w:lang w:eastAsia="es-ES"/>
        </w:rPr>
      </w:pPr>
      <w:r>
        <w:rPr>
          <w:rFonts w:ascii="Times New Roman" w:hAnsi="Times New Roman"/>
          <w:sz w:val="20"/>
          <w:szCs w:val="20"/>
          <w:lang w:eastAsia="es-ES"/>
        </w:rPr>
        <w:t>El Gráfico 2</w:t>
      </w:r>
      <w:r w:rsidRPr="00034C96">
        <w:rPr>
          <w:rFonts w:ascii="Times New Roman" w:hAnsi="Times New Roman"/>
          <w:sz w:val="20"/>
          <w:szCs w:val="20"/>
          <w:lang w:eastAsia="es-ES"/>
        </w:rPr>
        <w:t xml:space="preserve"> complementa los resultados del análisis de varianza y el test de comparaciones múltiples de Tukey, al mostrar la variabilidad del índice SEWEF total por cultivo a lo largo de las once campañas agrícolas. Se observa que</w:t>
      </w:r>
      <w:r>
        <w:rPr>
          <w:rFonts w:ascii="Times New Roman" w:hAnsi="Times New Roman"/>
          <w:sz w:val="20"/>
          <w:szCs w:val="20"/>
          <w:lang w:eastAsia="es-ES"/>
        </w:rPr>
        <w:t xml:space="preserve"> la judía verde</w:t>
      </w:r>
      <w:r w:rsidRPr="00034C96">
        <w:rPr>
          <w:rFonts w:ascii="Times New Roman" w:hAnsi="Times New Roman"/>
          <w:sz w:val="20"/>
          <w:szCs w:val="20"/>
          <w:lang w:eastAsia="es-ES"/>
        </w:rPr>
        <w:t xml:space="preserve"> no solo presenta la media más elevada, sino también cierta variabilidad entre campañas. En contraste, cultivos como</w:t>
      </w:r>
      <w:r>
        <w:rPr>
          <w:rFonts w:ascii="Times New Roman" w:hAnsi="Times New Roman"/>
          <w:sz w:val="20"/>
          <w:szCs w:val="20"/>
          <w:lang w:eastAsia="es-ES"/>
        </w:rPr>
        <w:t xml:space="preserve"> la berenjena o la sandía</w:t>
      </w:r>
      <w:r w:rsidRPr="00034C96">
        <w:rPr>
          <w:rFonts w:ascii="Times New Roman" w:hAnsi="Times New Roman"/>
          <w:sz w:val="20"/>
          <w:szCs w:val="20"/>
          <w:lang w:eastAsia="es-ES"/>
        </w:rPr>
        <w:t xml:space="preserve"> muestran valores negativos constantes, con escasa variabilidad. Estos resultados son coherentes con los grupos de significación obtenidos en el análisis post hoc, donde</w:t>
      </w:r>
      <w:r>
        <w:rPr>
          <w:rFonts w:ascii="Times New Roman" w:hAnsi="Times New Roman"/>
          <w:sz w:val="20"/>
          <w:szCs w:val="20"/>
          <w:lang w:eastAsia="es-ES"/>
        </w:rPr>
        <w:t xml:space="preserve"> la judía verde</w:t>
      </w:r>
      <w:r w:rsidRPr="00034C96">
        <w:rPr>
          <w:rFonts w:ascii="Times New Roman" w:hAnsi="Times New Roman"/>
          <w:sz w:val="20"/>
          <w:szCs w:val="20"/>
          <w:lang w:eastAsia="es-ES"/>
        </w:rPr>
        <w:t xml:space="preserve"> se situó en el grupo “a”, claramente diferenciad</w:t>
      </w:r>
      <w:r>
        <w:rPr>
          <w:rFonts w:ascii="Times New Roman" w:hAnsi="Times New Roman"/>
          <w:sz w:val="20"/>
          <w:szCs w:val="20"/>
          <w:lang w:eastAsia="es-ES"/>
        </w:rPr>
        <w:t>a</w:t>
      </w:r>
      <w:r w:rsidRPr="00034C96">
        <w:rPr>
          <w:rFonts w:ascii="Times New Roman" w:hAnsi="Times New Roman"/>
          <w:sz w:val="20"/>
          <w:szCs w:val="20"/>
          <w:lang w:eastAsia="es-ES"/>
        </w:rPr>
        <w:t xml:space="preserve"> del resto, mientras que los cultivos de bajo rendimiento compartieron grupo (letra “e”), sin diferencias significativas entre ellos.</w:t>
      </w:r>
    </w:p>
    <w:p w14:paraId="6982852A" w14:textId="6D4E55A3" w:rsidR="00E37F34" w:rsidRPr="00E37F34" w:rsidRDefault="00E37F34" w:rsidP="005E5C13">
      <w:pPr>
        <w:spacing w:after="60" w:line="240" w:lineRule="auto"/>
        <w:jc w:val="center"/>
        <w:rPr>
          <w:rFonts w:ascii="Times New Roman" w:hAnsi="Times New Roman"/>
          <w:i/>
          <w:iCs/>
          <w:sz w:val="20"/>
          <w:szCs w:val="20"/>
          <w:lang w:eastAsia="es-ES"/>
        </w:rPr>
      </w:pPr>
      <w:r w:rsidRPr="00744B3D">
        <w:rPr>
          <w:rFonts w:ascii="Times New Roman" w:hAnsi="Times New Roman"/>
          <w:b/>
          <w:bCs/>
          <w:sz w:val="20"/>
          <w:szCs w:val="20"/>
          <w:lang w:eastAsia="es-ES"/>
        </w:rPr>
        <w:t xml:space="preserve">Cuadro </w:t>
      </w:r>
      <w:r>
        <w:rPr>
          <w:rFonts w:ascii="Times New Roman" w:hAnsi="Times New Roman"/>
          <w:b/>
          <w:bCs/>
          <w:sz w:val="20"/>
          <w:szCs w:val="20"/>
          <w:lang w:eastAsia="es-ES"/>
        </w:rPr>
        <w:t>3</w:t>
      </w:r>
      <w:r w:rsidRPr="00744B3D">
        <w:rPr>
          <w:rFonts w:ascii="Times New Roman" w:hAnsi="Times New Roman"/>
          <w:b/>
          <w:bCs/>
          <w:sz w:val="20"/>
          <w:szCs w:val="20"/>
          <w:lang w:eastAsia="es-ES"/>
        </w:rPr>
        <w:t>.</w:t>
      </w:r>
      <w:r w:rsidRPr="00744B3D">
        <w:rPr>
          <w:rFonts w:ascii="Times New Roman" w:hAnsi="Times New Roman"/>
          <w:sz w:val="20"/>
          <w:szCs w:val="20"/>
          <w:lang w:eastAsia="es-ES"/>
        </w:rPr>
        <w:t xml:space="preserve"> </w:t>
      </w:r>
      <w:r w:rsidRPr="00744B3D">
        <w:rPr>
          <w:rFonts w:ascii="Times New Roman" w:hAnsi="Times New Roman"/>
          <w:i/>
          <w:iCs/>
          <w:sz w:val="20"/>
          <w:szCs w:val="20"/>
          <w:lang w:eastAsia="es-ES"/>
        </w:rPr>
        <w:t>Resultados del análisis ANOVA unidireccional</w:t>
      </w:r>
    </w:p>
    <w:p w14:paraId="1C215184" w14:textId="0285C078" w:rsidR="00F40003" w:rsidRDefault="00E37F34" w:rsidP="005E5C13">
      <w:pPr>
        <w:spacing w:after="60" w:line="240" w:lineRule="auto"/>
        <w:jc w:val="center"/>
        <w:rPr>
          <w:rFonts w:ascii="Times New Roman" w:hAnsi="Times New Roman"/>
          <w:color w:val="FF0000"/>
          <w:sz w:val="20"/>
          <w:szCs w:val="20"/>
          <w:lang w:eastAsia="es-ES"/>
        </w:rPr>
      </w:pPr>
      <w:r>
        <w:rPr>
          <w:rFonts w:ascii="Times New Roman" w:hAnsi="Times New Roman"/>
          <w:noProof/>
          <w:color w:val="FF0000"/>
          <w:sz w:val="20"/>
          <w:szCs w:val="20"/>
          <w:lang w:eastAsia="es-ES"/>
        </w:rPr>
        <w:drawing>
          <wp:inline distT="0" distB="0" distL="0" distR="0" wp14:anchorId="60356EFE" wp14:editId="6D4E6C39">
            <wp:extent cx="3390900" cy="435281"/>
            <wp:effectExtent l="0" t="0" r="0" b="3175"/>
            <wp:docPr id="1038433682"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33682" name="Imagen 4" descr="Tabla&#10;&#10;El contenido generado por IA puede ser incorrecto."/>
                    <pic:cNvPicPr/>
                  </pic:nvPicPr>
                  <pic:blipFill>
                    <a:blip r:embed="rId13"/>
                    <a:stretch>
                      <a:fillRect/>
                    </a:stretch>
                  </pic:blipFill>
                  <pic:spPr>
                    <a:xfrm>
                      <a:off x="0" y="0"/>
                      <a:ext cx="3652498" cy="468862"/>
                    </a:xfrm>
                    <a:prstGeom prst="rect">
                      <a:avLst/>
                    </a:prstGeom>
                  </pic:spPr>
                </pic:pic>
              </a:graphicData>
            </a:graphic>
          </wp:inline>
        </w:drawing>
      </w:r>
    </w:p>
    <w:p w14:paraId="70870549" w14:textId="44F8144B" w:rsidR="00657EB1" w:rsidRPr="00744B3D" w:rsidRDefault="00657EB1" w:rsidP="00E37F34">
      <w:pPr>
        <w:spacing w:after="60" w:line="240" w:lineRule="auto"/>
        <w:jc w:val="both"/>
        <w:rPr>
          <w:rFonts w:ascii="Times New Roman" w:hAnsi="Times New Roman"/>
          <w:sz w:val="20"/>
          <w:szCs w:val="20"/>
          <w:lang w:eastAsia="es-ES"/>
        </w:rPr>
      </w:pPr>
      <w:r w:rsidRPr="00744B3D">
        <w:rPr>
          <w:rFonts w:ascii="Times New Roman" w:hAnsi="Times New Roman"/>
          <w:sz w:val="20"/>
          <w:szCs w:val="20"/>
          <w:lang w:eastAsia="es-ES"/>
        </w:rPr>
        <w:t xml:space="preserve">Fuente: </w:t>
      </w:r>
      <w:r w:rsidRPr="00744B3D">
        <w:rPr>
          <w:rFonts w:ascii="Times New Roman" w:hAnsi="Times New Roman"/>
          <w:i/>
          <w:iCs/>
          <w:sz w:val="20"/>
          <w:szCs w:val="20"/>
          <w:lang w:eastAsia="es-ES"/>
        </w:rPr>
        <w:t>Elaboración propia</w:t>
      </w:r>
      <w:r w:rsidRPr="00744B3D">
        <w:rPr>
          <w:rFonts w:ascii="Times New Roman" w:hAnsi="Times New Roman"/>
          <w:sz w:val="20"/>
          <w:szCs w:val="20"/>
          <w:lang w:eastAsia="es-ES"/>
        </w:rPr>
        <w:t>.</w:t>
      </w:r>
    </w:p>
    <w:p w14:paraId="3F4F7B4C" w14:textId="77777777" w:rsidR="00F40003" w:rsidRPr="00744B3D" w:rsidRDefault="00F40003" w:rsidP="005E5C13">
      <w:pPr>
        <w:spacing w:after="60" w:line="240" w:lineRule="auto"/>
        <w:jc w:val="both"/>
        <w:rPr>
          <w:rFonts w:ascii="Times New Roman" w:hAnsi="Times New Roman"/>
          <w:sz w:val="20"/>
          <w:szCs w:val="20"/>
          <w:lang w:val="es-ES" w:eastAsia="es-ES"/>
        </w:rPr>
      </w:pPr>
      <w:r w:rsidRPr="00744B3D">
        <w:rPr>
          <w:rFonts w:ascii="Times New Roman" w:hAnsi="Times New Roman"/>
          <w:sz w:val="20"/>
          <w:szCs w:val="20"/>
          <w:lang w:val="es-ES" w:eastAsia="es-ES"/>
        </w:rPr>
        <w:t xml:space="preserve">Los resultados muestran un efecto altamente significativo del tipo de cultivo sobre el desempeño en sostenibilidad (índice SEWEF), lo que valida la hipótesis H1 planteada. Esto justifica la aplicación </w:t>
      </w:r>
      <w:proofErr w:type="gramStart"/>
      <w:r w:rsidRPr="00744B3D">
        <w:rPr>
          <w:rFonts w:ascii="Times New Roman" w:hAnsi="Times New Roman"/>
          <w:sz w:val="20"/>
          <w:szCs w:val="20"/>
          <w:lang w:val="es-ES" w:eastAsia="es-ES"/>
        </w:rPr>
        <w:t>del test</w:t>
      </w:r>
      <w:proofErr w:type="gramEnd"/>
      <w:r w:rsidRPr="00744B3D">
        <w:rPr>
          <w:rFonts w:ascii="Times New Roman" w:hAnsi="Times New Roman"/>
          <w:sz w:val="20"/>
          <w:szCs w:val="20"/>
          <w:lang w:val="es-ES" w:eastAsia="es-ES"/>
        </w:rPr>
        <w:t xml:space="preserve"> post hoc de Tukey para identificar diferencias entre pares de cultivos.</w:t>
      </w:r>
    </w:p>
    <w:p w14:paraId="7CB40A2C" w14:textId="41DB5783" w:rsidR="00F40003" w:rsidRPr="00744B3D" w:rsidRDefault="00BD795A" w:rsidP="00981645">
      <w:pPr>
        <w:spacing w:after="60" w:line="240" w:lineRule="auto"/>
        <w:jc w:val="both"/>
        <w:rPr>
          <w:rFonts w:ascii="Times New Roman" w:hAnsi="Times New Roman"/>
          <w:sz w:val="20"/>
          <w:szCs w:val="20"/>
          <w:lang w:val="es-ES" w:eastAsia="es-ES"/>
        </w:rPr>
      </w:pPr>
      <w:r w:rsidRPr="00744B3D">
        <w:rPr>
          <w:rFonts w:ascii="Times New Roman" w:hAnsi="Times New Roman"/>
          <w:sz w:val="20"/>
          <w:szCs w:val="20"/>
          <w:lang w:eastAsia="es-ES"/>
        </w:rPr>
        <w:t>El análisis de varianza aplicado al índice SEWEF en función de la campaña agrícola (2010/2011 a 2020/2021) no arrojó diferencias estadísticamente significativas (p &gt; 0.05), lo que indica que el rendimiento sostenible global de los cultivos se ha mantenido relativamente estable a lo largo del periodo analizado.</w:t>
      </w:r>
    </w:p>
    <w:p w14:paraId="651707CF" w14:textId="00AB0979" w:rsidR="00F40003" w:rsidRPr="00744B3D" w:rsidRDefault="00BD795A" w:rsidP="008419E8">
      <w:pPr>
        <w:spacing w:after="0" w:line="240" w:lineRule="auto"/>
        <w:jc w:val="both"/>
        <w:rPr>
          <w:rFonts w:ascii="Times New Roman" w:hAnsi="Times New Roman"/>
          <w:sz w:val="20"/>
          <w:szCs w:val="20"/>
          <w:lang w:eastAsia="es-ES"/>
        </w:rPr>
      </w:pPr>
      <w:r w:rsidRPr="00744B3D">
        <w:rPr>
          <w:rFonts w:ascii="Times New Roman" w:hAnsi="Times New Roman"/>
          <w:sz w:val="20"/>
          <w:szCs w:val="20"/>
          <w:lang w:eastAsia="es-ES"/>
        </w:rPr>
        <w:t xml:space="preserve">Asimismo, el análisis de interacción entre cultivo y campaña mostró una contribución marginal a la varianza explicada del índice SEWEF, sin diferencias significativas en términos estadísticos. Esta estabilidad sugiere </w:t>
      </w:r>
      <w:r w:rsidRPr="00744B3D">
        <w:rPr>
          <w:rFonts w:ascii="Times New Roman" w:hAnsi="Times New Roman"/>
          <w:sz w:val="20"/>
          <w:szCs w:val="20"/>
          <w:lang w:eastAsia="es-ES"/>
        </w:rPr>
        <w:lastRenderedPageBreak/>
        <w:t>que la sostenibilidad relativa entre cultivos no varió de forma sustancial entre campañas, reforzando la robustez de los patrones detectados en el análisis principal por cultivo.</w:t>
      </w:r>
    </w:p>
    <w:p w14:paraId="164C2851" w14:textId="77777777" w:rsidR="00F40003" w:rsidRDefault="00F40003" w:rsidP="008419E8">
      <w:pPr>
        <w:spacing w:after="0" w:line="240" w:lineRule="auto"/>
        <w:jc w:val="both"/>
        <w:rPr>
          <w:rFonts w:ascii="Times New Roman" w:hAnsi="Times New Roman"/>
          <w:color w:val="FF0000"/>
          <w:sz w:val="20"/>
          <w:szCs w:val="20"/>
          <w:lang w:val="es-ES" w:eastAsia="es-ES"/>
        </w:rPr>
      </w:pPr>
    </w:p>
    <w:p w14:paraId="1DC5FC85" w14:textId="4E17FAD8" w:rsidR="005B64AB" w:rsidRDefault="006D73D1" w:rsidP="005E5C13">
      <w:pPr>
        <w:spacing w:after="60" w:line="240" w:lineRule="auto"/>
        <w:jc w:val="both"/>
        <w:rPr>
          <w:rFonts w:ascii="Times New Roman" w:hAnsi="Times New Roman"/>
          <w:color w:val="FF0000"/>
          <w:sz w:val="20"/>
          <w:szCs w:val="20"/>
          <w:lang w:val="es-ES" w:eastAsia="es-ES"/>
        </w:rPr>
      </w:pPr>
      <w:r w:rsidRPr="005E5C13">
        <w:rPr>
          <w:rFonts w:ascii="Times New Roman" w:hAnsi="Times New Roman"/>
          <w:b/>
          <w:bCs/>
          <w:sz w:val="20"/>
          <w:szCs w:val="20"/>
          <w:lang w:val="es-ES" w:eastAsia="es-ES"/>
        </w:rPr>
        <w:t xml:space="preserve">4. </w:t>
      </w:r>
      <w:r w:rsidR="000F092F" w:rsidRPr="005E5C13">
        <w:rPr>
          <w:rFonts w:ascii="Times New Roman" w:hAnsi="Times New Roman"/>
          <w:b/>
          <w:bCs/>
          <w:sz w:val="20"/>
          <w:szCs w:val="20"/>
          <w:lang w:val="es-ES" w:eastAsia="es-ES"/>
        </w:rPr>
        <w:t>Conclusiones</w:t>
      </w:r>
    </w:p>
    <w:p w14:paraId="546A8251" w14:textId="71E1685A" w:rsidR="005B64AB" w:rsidRPr="00780862" w:rsidRDefault="00780862" w:rsidP="008419E8">
      <w:pPr>
        <w:spacing w:after="0" w:line="240" w:lineRule="auto"/>
        <w:jc w:val="both"/>
        <w:rPr>
          <w:rFonts w:ascii="Times New Roman" w:hAnsi="Times New Roman"/>
          <w:sz w:val="20"/>
          <w:szCs w:val="20"/>
          <w:lang w:eastAsia="es-ES"/>
        </w:rPr>
      </w:pPr>
      <w:r w:rsidRPr="00780862">
        <w:rPr>
          <w:rFonts w:ascii="Times New Roman" w:hAnsi="Times New Roman"/>
          <w:sz w:val="20"/>
          <w:szCs w:val="20"/>
          <w:lang w:eastAsia="es-ES"/>
        </w:rPr>
        <w:t>Este estudio propone un enfoque integrado y reproducible para evaluar la sostenibilidad agroalimentaria a través de un índice multicriterio (SEWEF), adaptado al caso del cultivo de invernadero en Almería. La metodología CRITIC-MCDM-ANOVA ha permitido identificar diferencias significativas entre cultivos, reflejando su rendimiento relativo en términos físico-productivos y socioeconómicos. Los resultados respaldan el uso del índice SEWEF como herramienta útil para la toma de decisiones sostenibles en contextos agrícolas intensivos con limitaciones de agua y energía.</w:t>
      </w:r>
    </w:p>
    <w:p w14:paraId="5225A787" w14:textId="77777777" w:rsidR="00780862" w:rsidRDefault="00780862" w:rsidP="008419E8">
      <w:pPr>
        <w:spacing w:after="0" w:line="240" w:lineRule="auto"/>
        <w:jc w:val="both"/>
        <w:rPr>
          <w:rFonts w:ascii="Times New Roman" w:hAnsi="Times New Roman"/>
          <w:sz w:val="20"/>
          <w:szCs w:val="20"/>
          <w:lang w:val="es-ES" w:eastAsia="es-ES"/>
        </w:rPr>
      </w:pPr>
    </w:p>
    <w:p w14:paraId="1D72D08E" w14:textId="189F34FD" w:rsidR="008419E8" w:rsidRPr="00DA0345" w:rsidRDefault="00DA0345" w:rsidP="00DA0345">
      <w:pPr>
        <w:spacing w:after="60" w:line="240" w:lineRule="auto"/>
        <w:jc w:val="both"/>
        <w:rPr>
          <w:rFonts w:ascii="Times New Roman" w:hAnsi="Times New Roman"/>
          <w:b/>
          <w:bCs/>
          <w:sz w:val="20"/>
          <w:szCs w:val="20"/>
          <w:lang w:val="es-ES" w:eastAsia="es-ES"/>
        </w:rPr>
      </w:pPr>
      <w:r>
        <w:rPr>
          <w:rFonts w:ascii="Times New Roman" w:hAnsi="Times New Roman"/>
          <w:b/>
          <w:bCs/>
          <w:sz w:val="20"/>
          <w:szCs w:val="20"/>
          <w:lang w:val="es-ES" w:eastAsia="es-ES"/>
        </w:rPr>
        <w:t>Bibliografía</w:t>
      </w:r>
      <w:r w:rsidR="0054275E">
        <w:rPr>
          <w:rFonts w:ascii="Times New Roman" w:hAnsi="Times New Roman"/>
          <w:sz w:val="20"/>
          <w:szCs w:val="20"/>
          <w:lang w:val="es-ES" w:eastAsia="es-ES"/>
        </w:rPr>
        <w:tab/>
      </w:r>
    </w:p>
    <w:p w14:paraId="71765161" w14:textId="4F58A149" w:rsidR="00B81590" w:rsidRDefault="00B81590" w:rsidP="00E97D9C">
      <w:pPr>
        <w:spacing w:after="60" w:line="240" w:lineRule="auto"/>
        <w:ind w:left="567" w:hanging="567"/>
        <w:jc w:val="both"/>
        <w:rPr>
          <w:rFonts w:ascii="Helvetica" w:hAnsi="Helvetica" w:cs="Helvetica"/>
          <w:color w:val="222222"/>
          <w:sz w:val="18"/>
          <w:szCs w:val="18"/>
          <w:shd w:val="clear" w:color="auto" w:fill="FFFFFF"/>
        </w:rPr>
      </w:pPr>
      <w:r w:rsidRPr="00E80502">
        <w:rPr>
          <w:rFonts w:ascii="Times New Roman" w:hAnsi="Times New Roman"/>
          <w:color w:val="222222"/>
          <w:sz w:val="20"/>
          <w:szCs w:val="20"/>
          <w:shd w:val="clear" w:color="auto" w:fill="FFFFFF"/>
        </w:rPr>
        <w:t>Castillo-Díaz, F.J., Belmonte-Ureña, L.J., Batlles-delaFuente, A.</w:t>
      </w:r>
      <w:r w:rsidR="00E80502">
        <w:rPr>
          <w:rFonts w:ascii="Times New Roman" w:hAnsi="Times New Roman"/>
          <w:color w:val="222222"/>
          <w:sz w:val="20"/>
          <w:szCs w:val="20"/>
          <w:shd w:val="clear" w:color="auto" w:fill="FFFFFF"/>
        </w:rPr>
        <w:t xml:space="preserve"> y Camacho-Ferre, F</w:t>
      </w:r>
      <w:r w:rsidRPr="00E80502">
        <w:rPr>
          <w:rFonts w:ascii="Times New Roman" w:hAnsi="Times New Roman"/>
          <w:color w:val="222222"/>
          <w:sz w:val="20"/>
          <w:szCs w:val="20"/>
          <w:shd w:val="clear" w:color="auto" w:fill="FFFFFF"/>
        </w:rPr>
        <w:t>.</w:t>
      </w:r>
      <w:r w:rsidR="00E80502" w:rsidRPr="00E80502">
        <w:rPr>
          <w:rFonts w:ascii="Times New Roman" w:hAnsi="Times New Roman"/>
          <w:color w:val="222222"/>
          <w:sz w:val="20"/>
          <w:szCs w:val="20"/>
          <w:shd w:val="clear" w:color="auto" w:fill="FFFFFF"/>
        </w:rPr>
        <w:t xml:space="preserve"> (2022).</w:t>
      </w:r>
      <w:r w:rsidRPr="00E80502">
        <w:rPr>
          <w:rFonts w:ascii="Times New Roman" w:hAnsi="Times New Roman"/>
          <w:color w:val="222222"/>
          <w:sz w:val="20"/>
          <w:szCs w:val="20"/>
          <w:shd w:val="clear" w:color="auto" w:fill="FFFFFF"/>
        </w:rPr>
        <w:t> </w:t>
      </w:r>
      <w:r w:rsid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Impact of the new measures related to the circular economy on the management of agrochemical packaging in Spanish agriculture and the use of biodegradable plastics</w:t>
      </w:r>
      <w:r w:rsid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 </w:t>
      </w:r>
      <w:r w:rsidRPr="00E80502">
        <w:rPr>
          <w:rFonts w:ascii="Times New Roman" w:hAnsi="Times New Roman"/>
          <w:i/>
          <w:iCs/>
          <w:color w:val="222222"/>
          <w:sz w:val="20"/>
          <w:szCs w:val="20"/>
          <w:shd w:val="clear" w:color="auto" w:fill="FFFFFF"/>
        </w:rPr>
        <w:t>Environ</w:t>
      </w:r>
      <w:r w:rsidR="00E80502">
        <w:rPr>
          <w:rFonts w:ascii="Times New Roman" w:hAnsi="Times New Roman"/>
          <w:i/>
          <w:iCs/>
          <w:color w:val="222222"/>
          <w:sz w:val="20"/>
          <w:szCs w:val="20"/>
          <w:shd w:val="clear" w:color="auto" w:fill="FFFFFF"/>
        </w:rPr>
        <w:t>mental</w:t>
      </w:r>
      <w:r w:rsidRPr="00E80502">
        <w:rPr>
          <w:rFonts w:ascii="Times New Roman" w:hAnsi="Times New Roman"/>
          <w:i/>
          <w:iCs/>
          <w:color w:val="222222"/>
          <w:sz w:val="20"/>
          <w:szCs w:val="20"/>
          <w:shd w:val="clear" w:color="auto" w:fill="FFFFFF"/>
        </w:rPr>
        <w:t xml:space="preserve"> Sci</w:t>
      </w:r>
      <w:r w:rsidR="00E80502">
        <w:rPr>
          <w:rFonts w:ascii="Times New Roman" w:hAnsi="Times New Roman"/>
          <w:i/>
          <w:iCs/>
          <w:color w:val="222222"/>
          <w:sz w:val="20"/>
          <w:szCs w:val="20"/>
          <w:shd w:val="clear" w:color="auto" w:fill="FFFFFF"/>
        </w:rPr>
        <w:t>ences</w:t>
      </w:r>
      <w:r w:rsidRPr="00E80502">
        <w:rPr>
          <w:rFonts w:ascii="Times New Roman" w:hAnsi="Times New Roman"/>
          <w:i/>
          <w:iCs/>
          <w:color w:val="222222"/>
          <w:sz w:val="20"/>
          <w:szCs w:val="20"/>
          <w:shd w:val="clear" w:color="auto" w:fill="FFFFFF"/>
        </w:rPr>
        <w:t xml:space="preserve"> Eur</w:t>
      </w:r>
      <w:r w:rsidR="00E80502">
        <w:rPr>
          <w:rFonts w:ascii="Times New Roman" w:hAnsi="Times New Roman"/>
          <w:i/>
          <w:iCs/>
          <w:color w:val="222222"/>
          <w:sz w:val="20"/>
          <w:szCs w:val="20"/>
          <w:shd w:val="clear" w:color="auto" w:fill="FFFFFF"/>
        </w:rPr>
        <w:t>ope</w:t>
      </w:r>
      <w:r w:rsidR="00E80502" w:rsidRP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 34</w:t>
      </w:r>
      <w:r w:rsidR="00E80502" w:rsidRP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 xml:space="preserve">94. </w:t>
      </w:r>
      <w:hyperlink r:id="rId14" w:history="1">
        <w:r w:rsidRPr="00E80502">
          <w:rPr>
            <w:rStyle w:val="Hipervnculo"/>
            <w:rFonts w:ascii="Times New Roman" w:hAnsi="Times New Roman"/>
            <w:sz w:val="20"/>
            <w:szCs w:val="20"/>
            <w:shd w:val="clear" w:color="auto" w:fill="FFFFFF"/>
          </w:rPr>
          <w:t>https://doi.org/10.1186/s12302-022-00671-7</w:t>
        </w:r>
      </w:hyperlink>
      <w:r w:rsidR="00E80502" w:rsidRPr="00E80502">
        <w:t>.</w:t>
      </w:r>
    </w:p>
    <w:p w14:paraId="7FA2014E" w14:textId="16303BAC" w:rsidR="00000809" w:rsidRPr="00E80502" w:rsidRDefault="00000809" w:rsidP="00E97D9C">
      <w:pPr>
        <w:spacing w:after="60" w:line="240" w:lineRule="auto"/>
        <w:ind w:left="567" w:hanging="567"/>
        <w:jc w:val="both"/>
        <w:rPr>
          <w:rFonts w:ascii="Times New Roman" w:hAnsi="Times New Roman"/>
          <w:color w:val="222222"/>
          <w:sz w:val="20"/>
          <w:szCs w:val="20"/>
          <w:shd w:val="clear" w:color="auto" w:fill="FFFFFF"/>
        </w:rPr>
      </w:pPr>
      <w:r w:rsidRPr="00E80502">
        <w:rPr>
          <w:rFonts w:ascii="Times New Roman" w:hAnsi="Times New Roman"/>
          <w:color w:val="222222"/>
          <w:sz w:val="20"/>
          <w:szCs w:val="20"/>
          <w:shd w:val="clear" w:color="auto" w:fill="FFFFFF"/>
        </w:rPr>
        <w:t xml:space="preserve">Castro, A.J., López-Rodríguez, M.D., Giagnocavo, C., Gimenez, M., Céspedes, L., La Calle, A., Gallardo, M., Pumares, P., Cabello, J., Rodríguez, E., Uclés, D., Parra, S., Casas, J., Rodríguez, F., Fernandez-Prados, J. S., Alba-Patiño, D., Expósito-Granados, M., Murillo-López, B.E., Vasquez, L.M. </w:t>
      </w:r>
      <w:r w:rsidR="00E80502">
        <w:rPr>
          <w:rFonts w:ascii="Times New Roman" w:hAnsi="Times New Roman"/>
          <w:color w:val="222222"/>
          <w:sz w:val="20"/>
          <w:szCs w:val="20"/>
          <w:shd w:val="clear" w:color="auto" w:fill="FFFFFF"/>
        </w:rPr>
        <w:t>y</w:t>
      </w:r>
      <w:r w:rsidRPr="00E80502">
        <w:rPr>
          <w:rFonts w:ascii="Times New Roman" w:hAnsi="Times New Roman"/>
          <w:color w:val="222222"/>
          <w:sz w:val="20"/>
          <w:szCs w:val="20"/>
          <w:shd w:val="clear" w:color="auto" w:fill="FFFFFF"/>
        </w:rPr>
        <w:t xml:space="preserve"> Valera, D.L. (2019). </w:t>
      </w:r>
      <w:r w:rsid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Six Collective Challenges for Sustainability of Almería Greenhouse Horticulture</w:t>
      </w:r>
      <w:r w:rsid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 </w:t>
      </w:r>
      <w:r w:rsidRPr="00E80502">
        <w:rPr>
          <w:rStyle w:val="nfasis"/>
          <w:rFonts w:ascii="Times New Roman" w:hAnsi="Times New Roman"/>
          <w:color w:val="222222"/>
          <w:sz w:val="20"/>
          <w:szCs w:val="20"/>
          <w:shd w:val="clear" w:color="auto" w:fill="FFFFFF"/>
        </w:rPr>
        <w:t>International Journal of Environmental Research and Public Health</w:t>
      </w:r>
      <w:r w:rsidRPr="00E80502">
        <w:rPr>
          <w:rFonts w:ascii="Times New Roman" w:hAnsi="Times New Roman"/>
          <w:color w:val="222222"/>
          <w:sz w:val="20"/>
          <w:szCs w:val="20"/>
          <w:shd w:val="clear" w:color="auto" w:fill="FFFFFF"/>
        </w:rPr>
        <w:t>, </w:t>
      </w:r>
      <w:r w:rsidRPr="00E80502">
        <w:rPr>
          <w:rStyle w:val="nfasis"/>
          <w:rFonts w:ascii="Times New Roman" w:hAnsi="Times New Roman"/>
          <w:i w:val="0"/>
          <w:iCs w:val="0"/>
          <w:color w:val="222222"/>
          <w:sz w:val="20"/>
          <w:szCs w:val="20"/>
          <w:shd w:val="clear" w:color="auto" w:fill="FFFFFF"/>
        </w:rPr>
        <w:t>16</w:t>
      </w:r>
      <w:r w:rsidRPr="00E80502">
        <w:rPr>
          <w:rFonts w:ascii="Times New Roman" w:hAnsi="Times New Roman"/>
          <w:i/>
          <w:iCs/>
          <w:color w:val="222222"/>
          <w:sz w:val="20"/>
          <w:szCs w:val="20"/>
          <w:shd w:val="clear" w:color="auto" w:fill="FFFFFF"/>
        </w:rPr>
        <w:t>(</w:t>
      </w:r>
      <w:r w:rsidRPr="00E80502">
        <w:rPr>
          <w:rFonts w:ascii="Times New Roman" w:hAnsi="Times New Roman"/>
          <w:color w:val="222222"/>
          <w:sz w:val="20"/>
          <w:szCs w:val="20"/>
          <w:shd w:val="clear" w:color="auto" w:fill="FFFFFF"/>
        </w:rPr>
        <w:t>21)</w:t>
      </w:r>
      <w:r w:rsidR="00E80502">
        <w:rPr>
          <w:rFonts w:ascii="Times New Roman" w:hAnsi="Times New Roman"/>
          <w:color w:val="222222"/>
          <w:sz w:val="20"/>
          <w:szCs w:val="20"/>
          <w:shd w:val="clear" w:color="auto" w:fill="FFFFFF"/>
        </w:rPr>
        <w:t>:</w:t>
      </w:r>
      <w:r w:rsidRPr="00E80502">
        <w:rPr>
          <w:rFonts w:ascii="Times New Roman" w:hAnsi="Times New Roman"/>
          <w:color w:val="222222"/>
          <w:sz w:val="20"/>
          <w:szCs w:val="20"/>
          <w:shd w:val="clear" w:color="auto" w:fill="FFFFFF"/>
        </w:rPr>
        <w:t xml:space="preserve">4097. </w:t>
      </w:r>
      <w:hyperlink r:id="rId15" w:history="1">
        <w:r w:rsidRPr="00E80502">
          <w:rPr>
            <w:rStyle w:val="Hipervnculo"/>
            <w:rFonts w:ascii="Times New Roman" w:hAnsi="Times New Roman"/>
            <w:sz w:val="20"/>
            <w:szCs w:val="20"/>
            <w:shd w:val="clear" w:color="auto" w:fill="FFFFFF"/>
          </w:rPr>
          <w:t>https://doi.org/10.3390/ijerph16214097</w:t>
        </w:r>
      </w:hyperlink>
      <w:r w:rsidR="00E80502" w:rsidRPr="00E80502">
        <w:rPr>
          <w:rFonts w:ascii="Times New Roman" w:hAnsi="Times New Roman"/>
          <w:sz w:val="20"/>
          <w:szCs w:val="20"/>
        </w:rPr>
        <w:t>.</w:t>
      </w:r>
    </w:p>
    <w:p w14:paraId="33E86D8B" w14:textId="520A3E99" w:rsidR="00FC1E85" w:rsidRDefault="00FC1E85" w:rsidP="00E97D9C">
      <w:pPr>
        <w:spacing w:after="60" w:line="240" w:lineRule="auto"/>
        <w:ind w:left="567" w:hanging="567"/>
        <w:jc w:val="both"/>
        <w:rPr>
          <w:rFonts w:ascii="Times New Roman" w:hAnsi="Times New Roman"/>
          <w:sz w:val="20"/>
          <w:szCs w:val="20"/>
          <w:lang w:val="es-ES" w:eastAsia="es-ES"/>
        </w:rPr>
      </w:pPr>
      <w:r w:rsidRPr="00FC1E85">
        <w:rPr>
          <w:rFonts w:ascii="Times New Roman" w:hAnsi="Times New Roman"/>
          <w:sz w:val="20"/>
          <w:szCs w:val="20"/>
          <w:lang w:val="es-ES" w:eastAsia="es-ES"/>
        </w:rPr>
        <w:t xml:space="preserve">Corominas, J. (2010). “Agua y energía en el riego, en la época de la sostenibilidad”. </w:t>
      </w:r>
      <w:r w:rsidRPr="00FC1E85">
        <w:rPr>
          <w:rFonts w:ascii="Times New Roman" w:hAnsi="Times New Roman"/>
          <w:i/>
          <w:iCs/>
          <w:sz w:val="20"/>
          <w:szCs w:val="20"/>
          <w:lang w:val="es-ES" w:eastAsia="es-ES"/>
        </w:rPr>
        <w:t>Ingeniería del Agua</w:t>
      </w:r>
      <w:r w:rsidRPr="00FC1E85">
        <w:rPr>
          <w:rFonts w:ascii="Times New Roman" w:hAnsi="Times New Roman"/>
          <w:sz w:val="20"/>
          <w:szCs w:val="20"/>
          <w:lang w:val="es-ES" w:eastAsia="es-ES"/>
        </w:rPr>
        <w:t xml:space="preserve">, 17(3):219–233. </w:t>
      </w:r>
      <w:hyperlink r:id="rId16" w:history="1">
        <w:r w:rsidRPr="00FC1E85">
          <w:rPr>
            <w:rStyle w:val="Hipervnculo"/>
            <w:rFonts w:ascii="Times New Roman" w:hAnsi="Times New Roman"/>
            <w:sz w:val="20"/>
            <w:szCs w:val="20"/>
            <w:lang w:val="es-ES" w:eastAsia="es-ES"/>
          </w:rPr>
          <w:t>https://polipapers.upv.es/index.php/IA/article/view/2977</w:t>
        </w:r>
      </w:hyperlink>
      <w:r w:rsidRPr="00FC1E85">
        <w:rPr>
          <w:rFonts w:ascii="Times New Roman" w:hAnsi="Times New Roman"/>
          <w:sz w:val="20"/>
          <w:szCs w:val="20"/>
          <w:lang w:val="es-ES" w:eastAsia="es-ES"/>
        </w:rPr>
        <w:t>.</w:t>
      </w:r>
    </w:p>
    <w:p w14:paraId="1860E851" w14:textId="147AFDFB" w:rsidR="008419E8" w:rsidRPr="00E80502" w:rsidRDefault="008419E8" w:rsidP="00FE1D41">
      <w:pPr>
        <w:spacing w:after="0" w:line="240" w:lineRule="auto"/>
        <w:ind w:left="567" w:hanging="567"/>
        <w:jc w:val="both"/>
        <w:rPr>
          <w:rFonts w:ascii="Times New Roman" w:hAnsi="Times New Roman"/>
          <w:sz w:val="20"/>
          <w:szCs w:val="20"/>
          <w:lang w:val="en-US" w:eastAsia="es-ES"/>
        </w:rPr>
      </w:pPr>
      <w:r>
        <w:rPr>
          <w:rFonts w:ascii="Times New Roman" w:hAnsi="Times New Roman"/>
          <w:sz w:val="20"/>
          <w:szCs w:val="20"/>
          <w:lang w:val="es-ES" w:eastAsia="es-ES"/>
        </w:rPr>
        <w:t>Correa-Porcel, V., Piedra-Muñoz, L. y Galdeano-Gómez, E. (</w:t>
      </w:r>
      <w:r w:rsidR="005F77E7">
        <w:rPr>
          <w:rFonts w:ascii="Times New Roman" w:hAnsi="Times New Roman"/>
          <w:sz w:val="20"/>
          <w:szCs w:val="20"/>
          <w:lang w:val="es-ES" w:eastAsia="es-ES"/>
        </w:rPr>
        <w:t>2025</w:t>
      </w:r>
      <w:r>
        <w:rPr>
          <w:rFonts w:ascii="Times New Roman" w:hAnsi="Times New Roman"/>
          <w:sz w:val="20"/>
          <w:szCs w:val="20"/>
          <w:lang w:val="es-ES" w:eastAsia="es-ES"/>
        </w:rPr>
        <w:t xml:space="preserve">). </w:t>
      </w:r>
      <w:r w:rsidRPr="008419E8">
        <w:rPr>
          <w:rFonts w:ascii="Times New Roman" w:hAnsi="Times New Roman"/>
          <w:sz w:val="20"/>
          <w:szCs w:val="20"/>
          <w:lang w:val="en-US" w:eastAsia="es-ES"/>
        </w:rPr>
        <w:t>“</w:t>
      </w:r>
      <w:r w:rsidRPr="008419E8">
        <w:rPr>
          <w:rFonts w:ascii="Times New Roman" w:hAnsi="Times New Roman"/>
          <w:sz w:val="20"/>
          <w:szCs w:val="20"/>
          <w:lang w:val="en-GB" w:eastAsia="es-ES"/>
        </w:rPr>
        <w:t>Sustainability of Intensive Agri-Food Systems: A Socio-Economic and WEF Nexus Perspective from Southeast Spain</w:t>
      </w:r>
      <w:r w:rsidRPr="008419E8">
        <w:rPr>
          <w:rFonts w:ascii="Times New Roman" w:hAnsi="Times New Roman"/>
          <w:sz w:val="20"/>
          <w:szCs w:val="20"/>
          <w:lang w:val="en-US" w:eastAsia="es-ES"/>
        </w:rPr>
        <w:t>”</w:t>
      </w:r>
      <w:r>
        <w:rPr>
          <w:rFonts w:ascii="Times New Roman" w:hAnsi="Times New Roman"/>
          <w:sz w:val="20"/>
          <w:szCs w:val="20"/>
          <w:lang w:val="en-US" w:eastAsia="es-ES"/>
        </w:rPr>
        <w:t xml:space="preserve">. </w:t>
      </w:r>
      <w:r w:rsidRPr="00E80502">
        <w:rPr>
          <w:rFonts w:ascii="Times New Roman" w:hAnsi="Times New Roman"/>
          <w:i/>
          <w:iCs/>
          <w:sz w:val="20"/>
          <w:szCs w:val="20"/>
          <w:lang w:val="en-US" w:eastAsia="es-ES"/>
        </w:rPr>
        <w:t>Water Economics and Policy</w:t>
      </w:r>
      <w:r w:rsidRPr="00E80502">
        <w:rPr>
          <w:rFonts w:ascii="Times New Roman" w:hAnsi="Times New Roman"/>
          <w:sz w:val="20"/>
          <w:szCs w:val="20"/>
          <w:lang w:val="en-US" w:eastAsia="es-ES"/>
        </w:rPr>
        <w:t>.</w:t>
      </w:r>
      <w:r w:rsidR="00EA24DC">
        <w:rPr>
          <w:rFonts w:ascii="Times New Roman" w:hAnsi="Times New Roman"/>
          <w:sz w:val="20"/>
          <w:szCs w:val="20"/>
          <w:lang w:val="en-US" w:eastAsia="es-ES"/>
        </w:rPr>
        <w:t xml:space="preserve"> </w:t>
      </w:r>
      <w:hyperlink r:id="rId17" w:history="1">
        <w:r w:rsidR="00EA24DC" w:rsidRPr="00EA24DC">
          <w:rPr>
            <w:rStyle w:val="Hipervnculo"/>
            <w:rFonts w:ascii="Times New Roman" w:hAnsi="Times New Roman"/>
            <w:sz w:val="20"/>
            <w:szCs w:val="20"/>
            <w:lang w:eastAsia="es-ES"/>
          </w:rPr>
          <w:t>https://doi.org/10.1142/S2382624X2540017X</w:t>
        </w:r>
      </w:hyperlink>
      <w:r w:rsidR="00EA24DC">
        <w:rPr>
          <w:rFonts w:ascii="Times New Roman" w:hAnsi="Times New Roman"/>
          <w:sz w:val="20"/>
          <w:szCs w:val="20"/>
          <w:lang w:val="en-US" w:eastAsia="es-ES"/>
        </w:rPr>
        <w:t>.</w:t>
      </w:r>
    </w:p>
    <w:p w14:paraId="16103107" w14:textId="3D26F92A" w:rsidR="00096F07" w:rsidRPr="000F2C7D" w:rsidRDefault="00096F07" w:rsidP="00096F07">
      <w:pPr>
        <w:spacing w:after="0" w:line="240" w:lineRule="auto"/>
        <w:ind w:left="567" w:hanging="567"/>
        <w:jc w:val="both"/>
        <w:rPr>
          <w:rFonts w:ascii="Times New Roman" w:hAnsi="Times New Roman"/>
          <w:sz w:val="20"/>
          <w:szCs w:val="20"/>
          <w:lang w:val="es-ES" w:eastAsia="es-ES"/>
        </w:rPr>
      </w:pPr>
      <w:r w:rsidRPr="00096F07">
        <w:rPr>
          <w:rFonts w:ascii="Times New Roman" w:hAnsi="Times New Roman"/>
          <w:sz w:val="20"/>
          <w:szCs w:val="20"/>
          <w:lang w:val="en-US" w:eastAsia="es-ES"/>
        </w:rPr>
        <w:t xml:space="preserve">Das, S., Sharma, K.K., Majumder, S., Das, D. </w:t>
      </w:r>
      <w:r w:rsidR="000F2C7D">
        <w:rPr>
          <w:rFonts w:ascii="Times New Roman" w:hAnsi="Times New Roman"/>
          <w:sz w:val="20"/>
          <w:szCs w:val="20"/>
          <w:lang w:val="en-US" w:eastAsia="es-ES"/>
        </w:rPr>
        <w:t xml:space="preserve">y </w:t>
      </w:r>
      <w:r w:rsidRPr="00096F07">
        <w:rPr>
          <w:rFonts w:ascii="Times New Roman" w:hAnsi="Times New Roman"/>
          <w:sz w:val="20"/>
          <w:szCs w:val="20"/>
          <w:lang w:val="en-US" w:eastAsia="es-ES"/>
        </w:rPr>
        <w:t xml:space="preserve">Chowdhury, I.R. (2024). </w:t>
      </w:r>
      <w:r w:rsidR="00E80502">
        <w:rPr>
          <w:rFonts w:ascii="Times New Roman" w:hAnsi="Times New Roman"/>
          <w:sz w:val="20"/>
          <w:szCs w:val="20"/>
          <w:lang w:val="en-US" w:eastAsia="es-ES"/>
        </w:rPr>
        <w:t>“</w:t>
      </w:r>
      <w:proofErr w:type="spellStart"/>
      <w:r w:rsidRPr="00096F07">
        <w:rPr>
          <w:rFonts w:ascii="Times New Roman" w:hAnsi="Times New Roman"/>
          <w:sz w:val="20"/>
          <w:szCs w:val="20"/>
          <w:lang w:val="en-US" w:eastAsia="es-ES"/>
        </w:rPr>
        <w:t>Spatio</w:t>
      </w:r>
      <w:proofErr w:type="spellEnd"/>
      <w:r w:rsidRPr="00096F07">
        <w:rPr>
          <w:rFonts w:ascii="Times New Roman" w:hAnsi="Times New Roman"/>
          <w:sz w:val="20"/>
          <w:szCs w:val="20"/>
          <w:lang w:val="en-US" w:eastAsia="es-ES"/>
        </w:rPr>
        <w:t>-temporal variation and relationship between agricultural efficiency and irrigation intensity in a semi-arid region of India</w:t>
      </w:r>
      <w:r w:rsidR="00E80502">
        <w:rPr>
          <w:rFonts w:ascii="Times New Roman" w:hAnsi="Times New Roman"/>
          <w:sz w:val="20"/>
          <w:szCs w:val="20"/>
          <w:lang w:val="en-US" w:eastAsia="es-ES"/>
        </w:rPr>
        <w:t>”</w:t>
      </w:r>
      <w:r w:rsidRPr="00096F07">
        <w:rPr>
          <w:rFonts w:ascii="Times New Roman" w:hAnsi="Times New Roman"/>
          <w:sz w:val="20"/>
          <w:szCs w:val="20"/>
          <w:lang w:val="en-US" w:eastAsia="es-ES"/>
        </w:rPr>
        <w:t xml:space="preserve">. </w:t>
      </w:r>
      <w:r w:rsidRPr="000F2C7D">
        <w:rPr>
          <w:rFonts w:ascii="Times New Roman" w:hAnsi="Times New Roman"/>
          <w:i/>
          <w:iCs/>
          <w:sz w:val="20"/>
          <w:szCs w:val="20"/>
          <w:lang w:val="es-ES" w:eastAsia="es-ES"/>
        </w:rPr>
        <w:t xml:space="preserve">Regional </w:t>
      </w:r>
      <w:proofErr w:type="spellStart"/>
      <w:r w:rsidRPr="000F2C7D">
        <w:rPr>
          <w:rFonts w:ascii="Times New Roman" w:hAnsi="Times New Roman"/>
          <w:i/>
          <w:iCs/>
          <w:sz w:val="20"/>
          <w:szCs w:val="20"/>
          <w:lang w:val="es-ES" w:eastAsia="es-ES"/>
        </w:rPr>
        <w:t>Sustainability</w:t>
      </w:r>
      <w:proofErr w:type="spellEnd"/>
      <w:r w:rsidRPr="000F2C7D">
        <w:rPr>
          <w:rFonts w:ascii="Times New Roman" w:hAnsi="Times New Roman"/>
          <w:sz w:val="20"/>
          <w:szCs w:val="20"/>
          <w:lang w:val="es-ES" w:eastAsia="es-ES"/>
        </w:rPr>
        <w:t>, 5(2)</w:t>
      </w:r>
      <w:r w:rsidR="00E80502" w:rsidRPr="000F2C7D">
        <w:rPr>
          <w:rFonts w:ascii="Times New Roman" w:hAnsi="Times New Roman"/>
          <w:sz w:val="20"/>
          <w:szCs w:val="20"/>
          <w:lang w:val="es-ES" w:eastAsia="es-ES"/>
        </w:rPr>
        <w:t>:</w:t>
      </w:r>
      <w:r w:rsidRPr="000F2C7D">
        <w:rPr>
          <w:rFonts w:ascii="Times New Roman" w:hAnsi="Times New Roman"/>
          <w:sz w:val="20"/>
          <w:szCs w:val="20"/>
          <w:lang w:val="es-ES" w:eastAsia="es-ES"/>
        </w:rPr>
        <w:t xml:space="preserve">100144. </w:t>
      </w:r>
      <w:hyperlink r:id="rId18" w:history="1">
        <w:r w:rsidRPr="000F2C7D">
          <w:rPr>
            <w:rStyle w:val="Hipervnculo"/>
            <w:rFonts w:ascii="Times New Roman" w:hAnsi="Times New Roman"/>
            <w:sz w:val="20"/>
            <w:szCs w:val="20"/>
            <w:lang w:val="es-ES" w:eastAsia="es-ES"/>
          </w:rPr>
          <w:t>https://doi.org/10.1016/j.regsus.2024.100144</w:t>
        </w:r>
      </w:hyperlink>
      <w:r w:rsidR="00E80502" w:rsidRPr="00E80502">
        <w:rPr>
          <w:rFonts w:ascii="Times New Roman" w:hAnsi="Times New Roman"/>
          <w:sz w:val="20"/>
          <w:szCs w:val="20"/>
        </w:rPr>
        <w:t>.</w:t>
      </w:r>
    </w:p>
    <w:p w14:paraId="4D989C71" w14:textId="05BCACFF" w:rsidR="00096F07" w:rsidRDefault="00096F07" w:rsidP="00096F07">
      <w:pPr>
        <w:spacing w:after="0" w:line="240" w:lineRule="auto"/>
        <w:ind w:left="567" w:hanging="567"/>
        <w:jc w:val="both"/>
      </w:pPr>
      <w:proofErr w:type="spellStart"/>
      <w:r w:rsidRPr="000F2C7D">
        <w:rPr>
          <w:rFonts w:ascii="Times New Roman" w:hAnsi="Times New Roman"/>
          <w:sz w:val="20"/>
          <w:szCs w:val="20"/>
          <w:lang w:val="es-ES" w:eastAsia="es-ES"/>
        </w:rPr>
        <w:t>Diakoulaki</w:t>
      </w:r>
      <w:proofErr w:type="spellEnd"/>
      <w:r w:rsidRPr="000F2C7D">
        <w:rPr>
          <w:rFonts w:ascii="Times New Roman" w:hAnsi="Times New Roman"/>
          <w:sz w:val="20"/>
          <w:szCs w:val="20"/>
          <w:lang w:val="es-ES" w:eastAsia="es-ES"/>
        </w:rPr>
        <w:t xml:space="preserve">, D., </w:t>
      </w:r>
      <w:proofErr w:type="spellStart"/>
      <w:r w:rsidRPr="000F2C7D">
        <w:rPr>
          <w:rFonts w:ascii="Times New Roman" w:hAnsi="Times New Roman"/>
          <w:sz w:val="20"/>
          <w:szCs w:val="20"/>
          <w:lang w:val="es-ES" w:eastAsia="es-ES"/>
        </w:rPr>
        <w:t>Mavrotas</w:t>
      </w:r>
      <w:proofErr w:type="spellEnd"/>
      <w:r w:rsidRPr="000F2C7D">
        <w:rPr>
          <w:rFonts w:ascii="Times New Roman" w:hAnsi="Times New Roman"/>
          <w:sz w:val="20"/>
          <w:szCs w:val="20"/>
          <w:lang w:val="es-ES" w:eastAsia="es-ES"/>
        </w:rPr>
        <w:t xml:space="preserve">, G. </w:t>
      </w:r>
      <w:r w:rsidR="000F2C7D" w:rsidRPr="000F2C7D">
        <w:rPr>
          <w:rFonts w:ascii="Times New Roman" w:hAnsi="Times New Roman"/>
          <w:sz w:val="20"/>
          <w:szCs w:val="20"/>
          <w:lang w:val="es-ES" w:eastAsia="es-ES"/>
        </w:rPr>
        <w:t>y</w:t>
      </w:r>
      <w:r w:rsidRPr="000F2C7D">
        <w:rPr>
          <w:rFonts w:ascii="Times New Roman" w:hAnsi="Times New Roman"/>
          <w:sz w:val="20"/>
          <w:szCs w:val="20"/>
          <w:lang w:val="es-ES" w:eastAsia="es-ES"/>
        </w:rPr>
        <w:t xml:space="preserve"> </w:t>
      </w:r>
      <w:proofErr w:type="spellStart"/>
      <w:r w:rsidRPr="000F2C7D">
        <w:rPr>
          <w:rFonts w:ascii="Times New Roman" w:hAnsi="Times New Roman"/>
          <w:sz w:val="20"/>
          <w:szCs w:val="20"/>
          <w:lang w:val="es-ES" w:eastAsia="es-ES"/>
        </w:rPr>
        <w:t>Papayannakis</w:t>
      </w:r>
      <w:proofErr w:type="spellEnd"/>
      <w:r w:rsidRPr="000F2C7D">
        <w:rPr>
          <w:rFonts w:ascii="Times New Roman" w:hAnsi="Times New Roman"/>
          <w:sz w:val="20"/>
          <w:szCs w:val="20"/>
          <w:lang w:val="es-ES" w:eastAsia="es-ES"/>
        </w:rPr>
        <w:t xml:space="preserve">, L. (1995). </w:t>
      </w:r>
      <w:r w:rsidR="000F2C7D" w:rsidRPr="000F2C7D">
        <w:rPr>
          <w:rFonts w:ascii="Times New Roman" w:hAnsi="Times New Roman"/>
          <w:sz w:val="20"/>
          <w:szCs w:val="20"/>
          <w:lang w:val="en-US" w:eastAsia="es-ES"/>
        </w:rPr>
        <w:t>“</w:t>
      </w:r>
      <w:r w:rsidRPr="00096F07">
        <w:rPr>
          <w:rFonts w:ascii="Times New Roman" w:hAnsi="Times New Roman"/>
          <w:sz w:val="20"/>
          <w:szCs w:val="20"/>
          <w:lang w:val="en-US" w:eastAsia="es-ES"/>
        </w:rPr>
        <w:t>Determining objective weights in multiple criteria problems: The CRITIC method</w:t>
      </w:r>
      <w:r w:rsidR="000F2C7D">
        <w:rPr>
          <w:rFonts w:ascii="Times New Roman" w:hAnsi="Times New Roman"/>
          <w:sz w:val="20"/>
          <w:szCs w:val="20"/>
          <w:lang w:val="en-US" w:eastAsia="es-ES"/>
        </w:rPr>
        <w:t>”</w:t>
      </w:r>
      <w:r w:rsidRPr="00096F07">
        <w:rPr>
          <w:rFonts w:ascii="Times New Roman" w:hAnsi="Times New Roman"/>
          <w:sz w:val="20"/>
          <w:szCs w:val="20"/>
          <w:lang w:val="en-US" w:eastAsia="es-ES"/>
        </w:rPr>
        <w:t xml:space="preserve">. </w:t>
      </w:r>
      <w:r w:rsidRPr="00EF686C">
        <w:rPr>
          <w:rFonts w:ascii="Times New Roman" w:hAnsi="Times New Roman"/>
          <w:i/>
          <w:iCs/>
          <w:sz w:val="20"/>
          <w:szCs w:val="20"/>
          <w:lang w:val="en-US" w:eastAsia="es-ES"/>
        </w:rPr>
        <w:t>Computers &amp; Operations Research</w:t>
      </w:r>
      <w:r w:rsidRPr="00EF686C">
        <w:rPr>
          <w:rFonts w:ascii="Times New Roman" w:hAnsi="Times New Roman"/>
          <w:sz w:val="20"/>
          <w:szCs w:val="20"/>
          <w:lang w:val="en-US" w:eastAsia="es-ES"/>
        </w:rPr>
        <w:t>, 22(7)</w:t>
      </w:r>
      <w:r w:rsidR="000F2C7D" w:rsidRPr="00EF686C">
        <w:rPr>
          <w:rFonts w:ascii="Times New Roman" w:hAnsi="Times New Roman"/>
          <w:sz w:val="20"/>
          <w:szCs w:val="20"/>
          <w:lang w:val="en-US" w:eastAsia="es-ES"/>
        </w:rPr>
        <w:t>:</w:t>
      </w:r>
      <w:r w:rsidRPr="00EF686C">
        <w:rPr>
          <w:rFonts w:ascii="Times New Roman" w:hAnsi="Times New Roman"/>
          <w:sz w:val="20"/>
          <w:szCs w:val="20"/>
          <w:lang w:val="en-US" w:eastAsia="es-ES"/>
        </w:rPr>
        <w:t xml:space="preserve">763–770. </w:t>
      </w:r>
      <w:hyperlink r:id="rId19" w:history="1">
        <w:r w:rsidRPr="00EF686C">
          <w:rPr>
            <w:rStyle w:val="Hipervnculo"/>
            <w:rFonts w:ascii="Times New Roman" w:hAnsi="Times New Roman"/>
            <w:sz w:val="20"/>
            <w:szCs w:val="20"/>
            <w:lang w:val="en-US" w:eastAsia="es-ES"/>
          </w:rPr>
          <w:t>https://doi.org/10.1016/0305-0548(94)00059-H</w:t>
        </w:r>
      </w:hyperlink>
      <w:r w:rsidR="00A05BF2">
        <w:t>.</w:t>
      </w:r>
    </w:p>
    <w:p w14:paraId="2C232FEF" w14:textId="3E11B033" w:rsidR="00A05BF2" w:rsidRPr="00EF686C" w:rsidRDefault="00A05BF2" w:rsidP="00A05BF2">
      <w:pPr>
        <w:spacing w:after="0" w:line="240" w:lineRule="auto"/>
        <w:ind w:left="567" w:hanging="567"/>
        <w:jc w:val="both"/>
        <w:rPr>
          <w:rFonts w:ascii="Times New Roman" w:hAnsi="Times New Roman"/>
          <w:sz w:val="20"/>
          <w:szCs w:val="20"/>
          <w:lang w:val="en-US" w:eastAsia="es-ES"/>
        </w:rPr>
      </w:pPr>
      <w:r w:rsidRPr="00A05BF2">
        <w:rPr>
          <w:rFonts w:ascii="Times New Roman" w:hAnsi="Times New Roman"/>
          <w:sz w:val="20"/>
          <w:szCs w:val="20"/>
          <w:lang w:val="en-US" w:eastAsia="es-ES"/>
        </w:rPr>
        <w:t>Heck,</w:t>
      </w:r>
      <w:r>
        <w:rPr>
          <w:rFonts w:ascii="Times New Roman" w:hAnsi="Times New Roman"/>
          <w:sz w:val="20"/>
          <w:szCs w:val="20"/>
          <w:lang w:val="en-US" w:eastAsia="es-ES"/>
        </w:rPr>
        <w:t xml:space="preserve"> N.,</w:t>
      </w:r>
      <w:r w:rsidR="00E12FB0">
        <w:rPr>
          <w:rFonts w:ascii="Times New Roman" w:hAnsi="Times New Roman"/>
          <w:sz w:val="20"/>
          <w:szCs w:val="20"/>
          <w:lang w:val="en-US" w:eastAsia="es-ES"/>
        </w:rPr>
        <w:t xml:space="preserve"> </w:t>
      </w:r>
      <w:r w:rsidRPr="00A05BF2">
        <w:rPr>
          <w:rFonts w:ascii="Times New Roman" w:hAnsi="Times New Roman"/>
          <w:sz w:val="20"/>
          <w:szCs w:val="20"/>
          <w:lang w:val="en-US" w:eastAsia="es-ES"/>
        </w:rPr>
        <w:t>Lykkebo Petersen,</w:t>
      </w:r>
      <w:r w:rsidR="00E12FB0">
        <w:rPr>
          <w:rFonts w:ascii="Times New Roman" w:hAnsi="Times New Roman"/>
          <w:sz w:val="20"/>
          <w:szCs w:val="20"/>
          <w:lang w:val="en-US" w:eastAsia="es-ES"/>
        </w:rPr>
        <w:t xml:space="preserve"> K.,</w:t>
      </w:r>
      <w:r w:rsidRPr="00A05BF2">
        <w:rPr>
          <w:rFonts w:ascii="Times New Roman" w:hAnsi="Times New Roman"/>
          <w:sz w:val="20"/>
          <w:szCs w:val="20"/>
          <w:lang w:val="en-US" w:eastAsia="es-ES"/>
        </w:rPr>
        <w:t xml:space="preserve"> Potts,</w:t>
      </w:r>
      <w:r w:rsidR="00E12FB0">
        <w:rPr>
          <w:rFonts w:ascii="Times New Roman" w:hAnsi="Times New Roman"/>
          <w:sz w:val="20"/>
          <w:szCs w:val="20"/>
          <w:lang w:val="en-US" w:eastAsia="es-ES"/>
        </w:rPr>
        <w:t xml:space="preserve"> D.C.,</w:t>
      </w:r>
      <w:r w:rsidRPr="00A05BF2">
        <w:rPr>
          <w:rFonts w:ascii="Times New Roman" w:hAnsi="Times New Roman"/>
          <w:sz w:val="20"/>
          <w:szCs w:val="20"/>
          <w:lang w:val="en-US" w:eastAsia="es-ES"/>
        </w:rPr>
        <w:t xml:space="preserve"> Haddad,</w:t>
      </w:r>
      <w:r w:rsidR="00E12FB0">
        <w:rPr>
          <w:rFonts w:ascii="Times New Roman" w:hAnsi="Times New Roman"/>
          <w:sz w:val="20"/>
          <w:szCs w:val="20"/>
          <w:lang w:val="en-US" w:eastAsia="es-ES"/>
        </w:rPr>
        <w:t xml:space="preserve"> B. y</w:t>
      </w:r>
      <w:r w:rsidRPr="00A05BF2">
        <w:rPr>
          <w:rFonts w:ascii="Times New Roman" w:hAnsi="Times New Roman"/>
          <w:sz w:val="20"/>
          <w:szCs w:val="20"/>
          <w:lang w:val="en-US" w:eastAsia="es-ES"/>
        </w:rPr>
        <w:t xml:space="preserve"> Paytan,</w:t>
      </w:r>
      <w:r w:rsidR="00E12FB0">
        <w:rPr>
          <w:rFonts w:ascii="Times New Roman" w:hAnsi="Times New Roman"/>
          <w:sz w:val="20"/>
          <w:szCs w:val="20"/>
          <w:lang w:val="en-US" w:eastAsia="es-ES"/>
        </w:rPr>
        <w:t xml:space="preserve"> A. (2018).</w:t>
      </w:r>
      <w:r w:rsidRPr="00A05BF2">
        <w:rPr>
          <w:rFonts w:ascii="Times New Roman" w:hAnsi="Times New Roman"/>
          <w:sz w:val="20"/>
          <w:szCs w:val="20"/>
          <w:lang w:val="en-US" w:eastAsia="es-ES"/>
        </w:rPr>
        <w:t xml:space="preserve"> </w:t>
      </w:r>
      <w:r w:rsidR="00E12FB0">
        <w:rPr>
          <w:rFonts w:ascii="Times New Roman" w:hAnsi="Times New Roman"/>
          <w:sz w:val="20"/>
          <w:szCs w:val="20"/>
          <w:lang w:val="en-US" w:eastAsia="es-ES"/>
        </w:rPr>
        <w:t>“</w:t>
      </w:r>
      <w:r w:rsidRPr="00A05BF2">
        <w:rPr>
          <w:rFonts w:ascii="Times New Roman" w:hAnsi="Times New Roman"/>
          <w:sz w:val="20"/>
          <w:szCs w:val="20"/>
          <w:lang w:val="en-US" w:eastAsia="es-ES"/>
        </w:rPr>
        <w:t>Predictors of</w:t>
      </w:r>
      <w:r>
        <w:rPr>
          <w:rFonts w:ascii="Times New Roman" w:hAnsi="Times New Roman"/>
          <w:sz w:val="20"/>
          <w:szCs w:val="20"/>
          <w:lang w:val="en-US" w:eastAsia="es-ES"/>
        </w:rPr>
        <w:t xml:space="preserve"> </w:t>
      </w:r>
      <w:r w:rsidRPr="00A05BF2">
        <w:rPr>
          <w:rFonts w:ascii="Times New Roman" w:hAnsi="Times New Roman"/>
          <w:sz w:val="20"/>
          <w:szCs w:val="20"/>
          <w:lang w:val="en-US" w:eastAsia="es-ES"/>
        </w:rPr>
        <w:t>coastal stakeholders’ knowledge about seawater desalination impacts on marine</w:t>
      </w:r>
      <w:r>
        <w:rPr>
          <w:rFonts w:ascii="Times New Roman" w:hAnsi="Times New Roman"/>
          <w:sz w:val="20"/>
          <w:szCs w:val="20"/>
          <w:lang w:val="en-US" w:eastAsia="es-ES"/>
        </w:rPr>
        <w:t xml:space="preserve"> </w:t>
      </w:r>
      <w:r w:rsidRPr="00A05BF2">
        <w:rPr>
          <w:rFonts w:ascii="Times New Roman" w:hAnsi="Times New Roman"/>
          <w:sz w:val="20"/>
          <w:szCs w:val="20"/>
          <w:lang w:val="en-US" w:eastAsia="es-ES"/>
        </w:rPr>
        <w:t>ecosystems</w:t>
      </w:r>
      <w:r w:rsidR="00E12FB0">
        <w:rPr>
          <w:rFonts w:ascii="Times New Roman" w:hAnsi="Times New Roman"/>
          <w:sz w:val="20"/>
          <w:szCs w:val="20"/>
          <w:lang w:val="en-US" w:eastAsia="es-ES"/>
        </w:rPr>
        <w:t>”.</w:t>
      </w:r>
      <w:r w:rsidRPr="00A05BF2">
        <w:rPr>
          <w:rFonts w:ascii="Times New Roman" w:hAnsi="Times New Roman"/>
          <w:sz w:val="20"/>
          <w:szCs w:val="20"/>
          <w:lang w:val="en-US" w:eastAsia="es-ES"/>
        </w:rPr>
        <w:t xml:space="preserve"> </w:t>
      </w:r>
      <w:r w:rsidRPr="00A05BF2">
        <w:rPr>
          <w:rFonts w:ascii="Times New Roman" w:hAnsi="Times New Roman"/>
          <w:i/>
          <w:iCs/>
          <w:sz w:val="20"/>
          <w:szCs w:val="20"/>
          <w:lang w:val="en-US" w:eastAsia="es-ES"/>
        </w:rPr>
        <w:t>Sci</w:t>
      </w:r>
      <w:r w:rsidR="00E12FB0" w:rsidRPr="00E12FB0">
        <w:rPr>
          <w:rFonts w:ascii="Times New Roman" w:hAnsi="Times New Roman"/>
          <w:i/>
          <w:iCs/>
          <w:sz w:val="20"/>
          <w:szCs w:val="20"/>
          <w:lang w:val="en-US" w:eastAsia="es-ES"/>
        </w:rPr>
        <w:t>ence of The</w:t>
      </w:r>
      <w:r w:rsidRPr="00A05BF2">
        <w:rPr>
          <w:rFonts w:ascii="Times New Roman" w:hAnsi="Times New Roman"/>
          <w:i/>
          <w:iCs/>
          <w:sz w:val="20"/>
          <w:szCs w:val="20"/>
          <w:lang w:val="en-US" w:eastAsia="es-ES"/>
        </w:rPr>
        <w:t xml:space="preserve"> Total Environ</w:t>
      </w:r>
      <w:r w:rsidR="00E12FB0" w:rsidRPr="00E12FB0">
        <w:rPr>
          <w:rFonts w:ascii="Times New Roman" w:hAnsi="Times New Roman"/>
          <w:i/>
          <w:iCs/>
          <w:sz w:val="20"/>
          <w:szCs w:val="20"/>
          <w:lang w:val="en-US" w:eastAsia="es-ES"/>
        </w:rPr>
        <w:t>ment</w:t>
      </w:r>
      <w:r w:rsidR="00E12FB0">
        <w:rPr>
          <w:rFonts w:ascii="Times New Roman" w:hAnsi="Times New Roman"/>
          <w:sz w:val="20"/>
          <w:szCs w:val="20"/>
          <w:lang w:val="en-US" w:eastAsia="es-ES"/>
        </w:rPr>
        <w:t>,</w:t>
      </w:r>
      <w:r w:rsidRPr="00A05BF2">
        <w:rPr>
          <w:rFonts w:ascii="Times New Roman" w:hAnsi="Times New Roman"/>
          <w:sz w:val="20"/>
          <w:szCs w:val="20"/>
          <w:lang w:val="en-US" w:eastAsia="es-ES"/>
        </w:rPr>
        <w:t xml:space="preserve"> 639</w:t>
      </w:r>
      <w:r w:rsidR="00E12FB0">
        <w:rPr>
          <w:rFonts w:ascii="Times New Roman" w:hAnsi="Times New Roman"/>
          <w:sz w:val="20"/>
          <w:szCs w:val="20"/>
          <w:lang w:val="en-US" w:eastAsia="es-ES"/>
        </w:rPr>
        <w:t>:</w:t>
      </w:r>
      <w:r w:rsidRPr="00A05BF2">
        <w:rPr>
          <w:rFonts w:ascii="Times New Roman" w:hAnsi="Times New Roman"/>
          <w:sz w:val="20"/>
          <w:szCs w:val="20"/>
          <w:lang w:val="en-US" w:eastAsia="es-ES"/>
        </w:rPr>
        <w:t>785–792</w:t>
      </w:r>
      <w:r w:rsidR="00E12FB0">
        <w:rPr>
          <w:rFonts w:ascii="Times New Roman" w:hAnsi="Times New Roman"/>
          <w:sz w:val="20"/>
          <w:szCs w:val="20"/>
          <w:lang w:val="en-US" w:eastAsia="es-ES"/>
        </w:rPr>
        <w:t>.</w:t>
      </w:r>
      <w:r w:rsidRPr="00A05BF2">
        <w:rPr>
          <w:rFonts w:ascii="Times New Roman" w:hAnsi="Times New Roman"/>
          <w:sz w:val="20"/>
          <w:szCs w:val="20"/>
          <w:lang w:val="en-US" w:eastAsia="es-ES"/>
        </w:rPr>
        <w:t xml:space="preserve"> </w:t>
      </w:r>
      <w:hyperlink r:id="rId20" w:history="1">
        <w:r w:rsidRPr="00A05BF2">
          <w:rPr>
            <w:rStyle w:val="Hipervnculo"/>
            <w:rFonts w:ascii="Times New Roman" w:hAnsi="Times New Roman"/>
            <w:sz w:val="20"/>
            <w:szCs w:val="20"/>
            <w:lang w:val="en-US" w:eastAsia="es-ES"/>
          </w:rPr>
          <w:t>https://doi.org/10.1016/j.</w:t>
        </w:r>
        <w:r w:rsidRPr="00C57260">
          <w:rPr>
            <w:rStyle w:val="Hipervnculo"/>
            <w:rFonts w:ascii="Times New Roman" w:hAnsi="Times New Roman"/>
            <w:sz w:val="20"/>
            <w:szCs w:val="20"/>
            <w:lang w:val="en-US" w:eastAsia="es-ES"/>
          </w:rPr>
          <w:t>scitotenv.2018.05.163</w:t>
        </w:r>
      </w:hyperlink>
      <w:r w:rsidRPr="00A05BF2">
        <w:rPr>
          <w:rFonts w:ascii="Times New Roman" w:hAnsi="Times New Roman"/>
          <w:sz w:val="20"/>
          <w:szCs w:val="20"/>
          <w:lang w:val="en-US" w:eastAsia="es-ES"/>
        </w:rPr>
        <w:t>.</w:t>
      </w:r>
    </w:p>
    <w:p w14:paraId="2DAA1CF3" w14:textId="131F038D" w:rsidR="00096F07" w:rsidRDefault="00096F07" w:rsidP="00E97D9C">
      <w:pPr>
        <w:spacing w:after="60" w:line="240" w:lineRule="auto"/>
        <w:ind w:left="567" w:hanging="567"/>
        <w:jc w:val="both"/>
        <w:rPr>
          <w:rFonts w:ascii="Times New Roman" w:hAnsi="Times New Roman"/>
          <w:sz w:val="20"/>
          <w:szCs w:val="20"/>
        </w:rPr>
      </w:pPr>
      <w:proofErr w:type="spellStart"/>
      <w:r w:rsidRPr="004C45FD">
        <w:rPr>
          <w:rFonts w:ascii="Times New Roman" w:hAnsi="Times New Roman"/>
          <w:sz w:val="20"/>
          <w:szCs w:val="20"/>
          <w:lang w:val="es-ES" w:eastAsia="es-ES"/>
        </w:rPr>
        <w:t>Kannan</w:t>
      </w:r>
      <w:proofErr w:type="spellEnd"/>
      <w:r w:rsidRPr="004C45FD">
        <w:rPr>
          <w:rFonts w:ascii="Times New Roman" w:hAnsi="Times New Roman"/>
          <w:sz w:val="20"/>
          <w:szCs w:val="20"/>
          <w:lang w:val="es-ES" w:eastAsia="es-ES"/>
        </w:rPr>
        <w:t xml:space="preserve">, D., </w:t>
      </w:r>
      <w:proofErr w:type="spellStart"/>
      <w:r w:rsidRPr="004C45FD">
        <w:rPr>
          <w:rFonts w:ascii="Times New Roman" w:hAnsi="Times New Roman"/>
          <w:sz w:val="20"/>
          <w:szCs w:val="20"/>
          <w:lang w:val="es-ES" w:eastAsia="es-ES"/>
        </w:rPr>
        <w:t>Moazzeni</w:t>
      </w:r>
      <w:proofErr w:type="spellEnd"/>
      <w:r w:rsidRPr="004C45FD">
        <w:rPr>
          <w:rFonts w:ascii="Times New Roman" w:hAnsi="Times New Roman"/>
          <w:sz w:val="20"/>
          <w:szCs w:val="20"/>
          <w:lang w:val="es-ES" w:eastAsia="es-ES"/>
        </w:rPr>
        <w:t xml:space="preserve">, S., </w:t>
      </w:r>
      <w:proofErr w:type="spellStart"/>
      <w:r w:rsidRPr="004C45FD">
        <w:rPr>
          <w:rFonts w:ascii="Times New Roman" w:hAnsi="Times New Roman"/>
          <w:sz w:val="20"/>
          <w:szCs w:val="20"/>
          <w:lang w:val="es-ES" w:eastAsia="es-ES"/>
        </w:rPr>
        <w:t>Darmian</w:t>
      </w:r>
      <w:proofErr w:type="spellEnd"/>
      <w:r w:rsidRPr="004C45FD">
        <w:rPr>
          <w:rFonts w:ascii="Times New Roman" w:hAnsi="Times New Roman"/>
          <w:sz w:val="20"/>
          <w:szCs w:val="20"/>
          <w:lang w:val="es-ES" w:eastAsia="es-ES"/>
        </w:rPr>
        <w:t>, S. M.</w:t>
      </w:r>
      <w:r w:rsidR="000F2C7D" w:rsidRPr="004C45FD">
        <w:rPr>
          <w:rFonts w:ascii="Times New Roman" w:hAnsi="Times New Roman"/>
          <w:sz w:val="20"/>
          <w:szCs w:val="20"/>
          <w:lang w:val="es-ES" w:eastAsia="es-ES"/>
        </w:rPr>
        <w:t xml:space="preserve"> y</w:t>
      </w:r>
      <w:r w:rsidRPr="004C45FD">
        <w:rPr>
          <w:rFonts w:ascii="Times New Roman" w:hAnsi="Times New Roman"/>
          <w:sz w:val="20"/>
          <w:szCs w:val="20"/>
          <w:lang w:val="es-ES" w:eastAsia="es-ES"/>
        </w:rPr>
        <w:t xml:space="preserve"> </w:t>
      </w:r>
      <w:proofErr w:type="spellStart"/>
      <w:r w:rsidRPr="004C45FD">
        <w:rPr>
          <w:rFonts w:ascii="Times New Roman" w:hAnsi="Times New Roman"/>
          <w:sz w:val="20"/>
          <w:szCs w:val="20"/>
          <w:lang w:val="es-ES" w:eastAsia="es-ES"/>
        </w:rPr>
        <w:t>Afrasiabi</w:t>
      </w:r>
      <w:proofErr w:type="spellEnd"/>
      <w:r w:rsidRPr="004C45FD">
        <w:rPr>
          <w:rFonts w:ascii="Times New Roman" w:hAnsi="Times New Roman"/>
          <w:sz w:val="20"/>
          <w:szCs w:val="20"/>
          <w:lang w:val="es-ES" w:eastAsia="es-ES"/>
        </w:rPr>
        <w:t xml:space="preserve">, A. (2021). </w:t>
      </w:r>
      <w:r w:rsidR="000F2C7D" w:rsidRPr="000F2C7D">
        <w:rPr>
          <w:rFonts w:ascii="Times New Roman" w:hAnsi="Times New Roman"/>
          <w:sz w:val="20"/>
          <w:szCs w:val="20"/>
          <w:lang w:val="en-US" w:eastAsia="es-ES"/>
        </w:rPr>
        <w:t>“</w:t>
      </w:r>
      <w:r w:rsidRPr="00096F07">
        <w:rPr>
          <w:rFonts w:ascii="Times New Roman" w:hAnsi="Times New Roman"/>
          <w:sz w:val="20"/>
          <w:szCs w:val="20"/>
          <w:lang w:val="en-US" w:eastAsia="es-ES"/>
        </w:rPr>
        <w:t>A hybrid approach based on MCDM methods and Monte Carlo simulation for sustainable evaluation of potential solar sites in east of Iran</w:t>
      </w:r>
      <w:r w:rsidR="000F2C7D">
        <w:rPr>
          <w:rFonts w:ascii="Times New Roman" w:hAnsi="Times New Roman"/>
          <w:sz w:val="20"/>
          <w:szCs w:val="20"/>
          <w:lang w:val="en-US" w:eastAsia="es-ES"/>
        </w:rPr>
        <w:t>”</w:t>
      </w:r>
      <w:r w:rsidRPr="00096F07">
        <w:rPr>
          <w:rFonts w:ascii="Times New Roman" w:hAnsi="Times New Roman"/>
          <w:sz w:val="20"/>
          <w:szCs w:val="20"/>
          <w:lang w:val="en-US" w:eastAsia="es-ES"/>
        </w:rPr>
        <w:t xml:space="preserve">. </w:t>
      </w:r>
      <w:proofErr w:type="spellStart"/>
      <w:r w:rsidRPr="004C45FD">
        <w:rPr>
          <w:rFonts w:ascii="Times New Roman" w:hAnsi="Times New Roman"/>
          <w:i/>
          <w:iCs/>
          <w:sz w:val="20"/>
          <w:szCs w:val="20"/>
          <w:lang w:val="es-ES" w:eastAsia="es-ES"/>
        </w:rPr>
        <w:t>Journal</w:t>
      </w:r>
      <w:proofErr w:type="spellEnd"/>
      <w:r w:rsidRPr="004C45FD">
        <w:rPr>
          <w:rFonts w:ascii="Times New Roman" w:hAnsi="Times New Roman"/>
          <w:i/>
          <w:iCs/>
          <w:sz w:val="20"/>
          <w:szCs w:val="20"/>
          <w:lang w:val="es-ES" w:eastAsia="es-ES"/>
        </w:rPr>
        <w:t xml:space="preserve"> </w:t>
      </w:r>
      <w:proofErr w:type="spellStart"/>
      <w:r w:rsidRPr="004C45FD">
        <w:rPr>
          <w:rFonts w:ascii="Times New Roman" w:hAnsi="Times New Roman"/>
          <w:i/>
          <w:iCs/>
          <w:sz w:val="20"/>
          <w:szCs w:val="20"/>
          <w:lang w:val="es-ES" w:eastAsia="es-ES"/>
        </w:rPr>
        <w:t>of</w:t>
      </w:r>
      <w:proofErr w:type="spellEnd"/>
      <w:r w:rsidRPr="004C45FD">
        <w:rPr>
          <w:rFonts w:ascii="Times New Roman" w:hAnsi="Times New Roman"/>
          <w:i/>
          <w:iCs/>
          <w:sz w:val="20"/>
          <w:szCs w:val="20"/>
          <w:lang w:val="es-ES" w:eastAsia="es-ES"/>
        </w:rPr>
        <w:t xml:space="preserve"> </w:t>
      </w:r>
      <w:proofErr w:type="spellStart"/>
      <w:r w:rsidRPr="004C45FD">
        <w:rPr>
          <w:rFonts w:ascii="Times New Roman" w:hAnsi="Times New Roman"/>
          <w:i/>
          <w:iCs/>
          <w:sz w:val="20"/>
          <w:szCs w:val="20"/>
          <w:lang w:val="es-ES" w:eastAsia="es-ES"/>
        </w:rPr>
        <w:t>Cleaner</w:t>
      </w:r>
      <w:proofErr w:type="spellEnd"/>
      <w:r w:rsidRPr="004C45FD">
        <w:rPr>
          <w:rFonts w:ascii="Times New Roman" w:hAnsi="Times New Roman"/>
          <w:i/>
          <w:iCs/>
          <w:sz w:val="20"/>
          <w:szCs w:val="20"/>
          <w:lang w:val="es-ES" w:eastAsia="es-ES"/>
        </w:rPr>
        <w:t xml:space="preserve"> </w:t>
      </w:r>
      <w:proofErr w:type="spellStart"/>
      <w:r w:rsidRPr="004C45FD">
        <w:rPr>
          <w:rFonts w:ascii="Times New Roman" w:hAnsi="Times New Roman"/>
          <w:i/>
          <w:iCs/>
          <w:sz w:val="20"/>
          <w:szCs w:val="20"/>
          <w:lang w:val="es-ES" w:eastAsia="es-ES"/>
        </w:rPr>
        <w:t>Production</w:t>
      </w:r>
      <w:proofErr w:type="spellEnd"/>
      <w:r w:rsidRPr="004C45FD">
        <w:rPr>
          <w:rFonts w:ascii="Times New Roman" w:hAnsi="Times New Roman"/>
          <w:sz w:val="20"/>
          <w:szCs w:val="20"/>
          <w:lang w:val="es-ES" w:eastAsia="es-ES"/>
        </w:rPr>
        <w:t>, 279</w:t>
      </w:r>
      <w:r w:rsidR="000F2C7D" w:rsidRPr="004C45FD">
        <w:rPr>
          <w:rFonts w:ascii="Times New Roman" w:hAnsi="Times New Roman"/>
          <w:sz w:val="20"/>
          <w:szCs w:val="20"/>
          <w:lang w:val="es-ES" w:eastAsia="es-ES"/>
        </w:rPr>
        <w:t>:</w:t>
      </w:r>
      <w:r w:rsidRPr="004C45FD">
        <w:rPr>
          <w:rFonts w:ascii="Times New Roman" w:hAnsi="Times New Roman"/>
          <w:sz w:val="20"/>
          <w:szCs w:val="20"/>
          <w:lang w:val="es-ES" w:eastAsia="es-ES"/>
        </w:rPr>
        <w:t xml:space="preserve">122368. </w:t>
      </w:r>
      <w:hyperlink r:id="rId21" w:history="1">
        <w:r w:rsidRPr="004C45FD">
          <w:rPr>
            <w:rStyle w:val="Hipervnculo"/>
            <w:rFonts w:ascii="Times New Roman" w:hAnsi="Times New Roman"/>
            <w:sz w:val="20"/>
            <w:szCs w:val="20"/>
            <w:lang w:val="es-ES" w:eastAsia="es-ES"/>
          </w:rPr>
          <w:t>https://doi.org/10.1016/j.jclepro.2020.122368</w:t>
        </w:r>
      </w:hyperlink>
      <w:r w:rsidR="000F2C7D" w:rsidRPr="000F2C7D">
        <w:rPr>
          <w:rFonts w:ascii="Times New Roman" w:hAnsi="Times New Roman"/>
          <w:sz w:val="20"/>
          <w:szCs w:val="20"/>
        </w:rPr>
        <w:t>.</w:t>
      </w:r>
    </w:p>
    <w:p w14:paraId="09666F31" w14:textId="5F17AA28" w:rsidR="00A05BF2" w:rsidRPr="00E80502" w:rsidRDefault="00A05BF2" w:rsidP="00A05BF2">
      <w:pPr>
        <w:spacing w:after="60" w:line="240" w:lineRule="auto"/>
        <w:ind w:left="567" w:hanging="567"/>
        <w:jc w:val="both"/>
        <w:rPr>
          <w:rFonts w:ascii="Times New Roman" w:hAnsi="Times New Roman"/>
          <w:sz w:val="20"/>
          <w:szCs w:val="20"/>
          <w:lang w:val="en-US" w:eastAsia="es-ES"/>
        </w:rPr>
      </w:pPr>
      <w:r w:rsidRPr="00A05BF2">
        <w:rPr>
          <w:rFonts w:ascii="Times New Roman" w:hAnsi="Times New Roman"/>
          <w:sz w:val="20"/>
          <w:szCs w:val="20"/>
          <w:lang w:eastAsia="es-ES"/>
        </w:rPr>
        <w:t>Ktori,</w:t>
      </w:r>
      <w:r w:rsidR="00E12FB0">
        <w:rPr>
          <w:rFonts w:ascii="Times New Roman" w:hAnsi="Times New Roman"/>
          <w:sz w:val="20"/>
          <w:szCs w:val="20"/>
          <w:lang w:eastAsia="es-ES"/>
        </w:rPr>
        <w:t xml:space="preserve"> R.,</w:t>
      </w:r>
      <w:r w:rsidRPr="00A05BF2">
        <w:rPr>
          <w:rFonts w:ascii="Times New Roman" w:hAnsi="Times New Roman"/>
          <w:sz w:val="20"/>
          <w:szCs w:val="20"/>
          <w:lang w:eastAsia="es-ES"/>
        </w:rPr>
        <w:t xml:space="preserve"> Palmeros-Parada,</w:t>
      </w:r>
      <w:r w:rsidR="00F309DF">
        <w:rPr>
          <w:rFonts w:ascii="Times New Roman" w:hAnsi="Times New Roman"/>
          <w:sz w:val="20"/>
          <w:szCs w:val="20"/>
          <w:lang w:eastAsia="es-ES"/>
        </w:rPr>
        <w:t xml:space="preserve"> M.,</w:t>
      </w:r>
      <w:r w:rsidRPr="00A05BF2">
        <w:rPr>
          <w:rFonts w:ascii="Times New Roman" w:hAnsi="Times New Roman"/>
          <w:sz w:val="20"/>
          <w:szCs w:val="20"/>
          <w:lang w:eastAsia="es-ES"/>
        </w:rPr>
        <w:t xml:space="preserve"> Rodriguez-Pascual,</w:t>
      </w:r>
      <w:r w:rsidR="00F309DF">
        <w:rPr>
          <w:rFonts w:ascii="Times New Roman" w:hAnsi="Times New Roman"/>
          <w:sz w:val="20"/>
          <w:szCs w:val="20"/>
          <w:lang w:eastAsia="es-ES"/>
        </w:rPr>
        <w:t xml:space="preserve"> M.,</w:t>
      </w:r>
      <w:r w:rsidRPr="00A05BF2">
        <w:rPr>
          <w:rFonts w:ascii="Times New Roman" w:hAnsi="Times New Roman"/>
          <w:sz w:val="20"/>
          <w:szCs w:val="20"/>
          <w:lang w:eastAsia="es-ES"/>
        </w:rPr>
        <w:t xml:space="preserve"> van Loosdrecht,</w:t>
      </w:r>
      <w:r w:rsidR="00F309DF">
        <w:rPr>
          <w:rFonts w:ascii="Times New Roman" w:hAnsi="Times New Roman"/>
          <w:sz w:val="20"/>
          <w:szCs w:val="20"/>
          <w:lang w:eastAsia="es-ES"/>
        </w:rPr>
        <w:t xml:space="preserve"> M.C.M. y</w:t>
      </w:r>
      <w:r w:rsidRPr="00A05BF2">
        <w:rPr>
          <w:rFonts w:ascii="Times New Roman" w:hAnsi="Times New Roman"/>
          <w:sz w:val="20"/>
          <w:szCs w:val="20"/>
          <w:lang w:eastAsia="es-ES"/>
        </w:rPr>
        <w:t xml:space="preserve"> Xevgenos,</w:t>
      </w:r>
      <w:r w:rsidR="00F309DF">
        <w:rPr>
          <w:rFonts w:ascii="Times New Roman" w:hAnsi="Times New Roman"/>
          <w:sz w:val="20"/>
          <w:szCs w:val="20"/>
          <w:lang w:eastAsia="es-ES"/>
        </w:rPr>
        <w:t xml:space="preserve"> D. (2024).</w:t>
      </w:r>
      <w:r w:rsidRPr="00A05BF2">
        <w:rPr>
          <w:rFonts w:ascii="Times New Roman" w:hAnsi="Times New Roman"/>
          <w:sz w:val="20"/>
          <w:szCs w:val="20"/>
          <w:lang w:eastAsia="es-ES"/>
        </w:rPr>
        <w:t xml:space="preserve"> </w:t>
      </w:r>
      <w:r w:rsidR="00F309DF">
        <w:rPr>
          <w:rFonts w:ascii="Times New Roman" w:hAnsi="Times New Roman"/>
          <w:sz w:val="20"/>
          <w:szCs w:val="20"/>
          <w:lang w:eastAsia="es-ES"/>
        </w:rPr>
        <w:t>“</w:t>
      </w:r>
      <w:r w:rsidRPr="00A05BF2">
        <w:rPr>
          <w:rFonts w:ascii="Times New Roman" w:hAnsi="Times New Roman"/>
          <w:sz w:val="20"/>
          <w:szCs w:val="20"/>
          <w:lang w:eastAsia="es-ES"/>
        </w:rPr>
        <w:t>Designing for the future: A Value-Sensitive Approach to Integrated</w:t>
      </w:r>
      <w:r>
        <w:rPr>
          <w:rFonts w:ascii="Times New Roman" w:hAnsi="Times New Roman"/>
          <w:sz w:val="20"/>
          <w:szCs w:val="20"/>
          <w:lang w:eastAsia="es-ES"/>
        </w:rPr>
        <w:t xml:space="preserve"> </w:t>
      </w:r>
      <w:r w:rsidRPr="00A05BF2">
        <w:rPr>
          <w:rFonts w:ascii="Times New Roman" w:hAnsi="Times New Roman"/>
          <w:sz w:val="20"/>
          <w:szCs w:val="20"/>
          <w:lang w:val="en-US" w:eastAsia="es-ES"/>
        </w:rPr>
        <w:t>Desalination and Brine Treatment</w:t>
      </w:r>
      <w:r w:rsidR="00F309DF">
        <w:rPr>
          <w:rFonts w:ascii="Times New Roman" w:hAnsi="Times New Roman"/>
          <w:sz w:val="20"/>
          <w:szCs w:val="20"/>
          <w:lang w:val="en-US" w:eastAsia="es-ES"/>
        </w:rPr>
        <w:t>”.</w:t>
      </w:r>
      <w:r w:rsidRPr="00A05BF2">
        <w:rPr>
          <w:rFonts w:ascii="Times New Roman" w:hAnsi="Times New Roman"/>
          <w:sz w:val="20"/>
          <w:szCs w:val="20"/>
          <w:lang w:val="en-US" w:eastAsia="es-ES"/>
        </w:rPr>
        <w:t xml:space="preserve"> </w:t>
      </w:r>
      <w:proofErr w:type="spellStart"/>
      <w:r w:rsidRPr="00A05BF2">
        <w:rPr>
          <w:rFonts w:ascii="Times New Roman" w:hAnsi="Times New Roman"/>
          <w:i/>
          <w:iCs/>
          <w:sz w:val="20"/>
          <w:szCs w:val="20"/>
          <w:lang w:val="en-US" w:eastAsia="es-ES"/>
        </w:rPr>
        <w:t>TechRxiv</w:t>
      </w:r>
      <w:proofErr w:type="spellEnd"/>
      <w:r w:rsidR="00F309DF">
        <w:rPr>
          <w:rFonts w:ascii="Times New Roman" w:hAnsi="Times New Roman"/>
          <w:sz w:val="20"/>
          <w:szCs w:val="20"/>
          <w:lang w:val="en-US" w:eastAsia="es-ES"/>
        </w:rPr>
        <w:t>.</w:t>
      </w:r>
      <w:r w:rsidRPr="00A05BF2">
        <w:rPr>
          <w:rFonts w:ascii="Times New Roman" w:hAnsi="Times New Roman"/>
          <w:sz w:val="20"/>
          <w:szCs w:val="20"/>
          <w:lang w:val="en-US" w:eastAsia="es-ES"/>
        </w:rPr>
        <w:t xml:space="preserve"> </w:t>
      </w:r>
      <w:hyperlink r:id="rId22" w:history="1">
        <w:r w:rsidRPr="00A05BF2">
          <w:rPr>
            <w:rStyle w:val="Hipervnculo"/>
            <w:rFonts w:ascii="Times New Roman" w:hAnsi="Times New Roman"/>
            <w:sz w:val="20"/>
            <w:szCs w:val="20"/>
            <w:lang w:val="en-US" w:eastAsia="es-ES"/>
          </w:rPr>
          <w:t>https://doi.org/10.36227/techrxiv.170594775.55495325/v1</w:t>
        </w:r>
      </w:hyperlink>
      <w:r w:rsidRPr="00A05BF2">
        <w:rPr>
          <w:rFonts w:ascii="Times New Roman" w:hAnsi="Times New Roman"/>
          <w:sz w:val="20"/>
          <w:szCs w:val="20"/>
          <w:lang w:val="en-US" w:eastAsia="es-ES"/>
        </w:rPr>
        <w:t>.</w:t>
      </w:r>
    </w:p>
    <w:p w14:paraId="40493F0B" w14:textId="0B77B28A" w:rsidR="00330033" w:rsidRDefault="00330033" w:rsidP="00E97D9C">
      <w:pPr>
        <w:spacing w:after="60" w:line="240" w:lineRule="auto"/>
        <w:ind w:left="567" w:hanging="567"/>
        <w:jc w:val="both"/>
        <w:rPr>
          <w:rFonts w:ascii="Times New Roman" w:hAnsi="Times New Roman"/>
          <w:sz w:val="20"/>
          <w:szCs w:val="20"/>
          <w:lang w:val="es-ES" w:eastAsia="es-ES"/>
        </w:rPr>
      </w:pPr>
      <w:r w:rsidRPr="00330033">
        <w:rPr>
          <w:rFonts w:ascii="Times New Roman" w:hAnsi="Times New Roman"/>
          <w:sz w:val="20"/>
          <w:szCs w:val="20"/>
          <w:lang w:val="en-US" w:eastAsia="es-ES"/>
        </w:rPr>
        <w:t>Lu, Z., Zhuang, Y., Zhang, Y.</w:t>
      </w:r>
      <w:r w:rsidR="000F2C7D">
        <w:rPr>
          <w:rFonts w:ascii="Times New Roman" w:hAnsi="Times New Roman"/>
          <w:sz w:val="20"/>
          <w:szCs w:val="20"/>
          <w:lang w:val="en-US" w:eastAsia="es-ES"/>
        </w:rPr>
        <w:t xml:space="preserve"> y</w:t>
      </w:r>
      <w:r w:rsidRPr="00330033">
        <w:rPr>
          <w:rFonts w:ascii="Times New Roman" w:hAnsi="Times New Roman"/>
          <w:sz w:val="20"/>
          <w:szCs w:val="20"/>
          <w:lang w:val="en-US" w:eastAsia="es-ES"/>
        </w:rPr>
        <w:t xml:space="preserve"> Zhang, S. (2024). </w:t>
      </w:r>
      <w:r w:rsidR="000F2C7D">
        <w:rPr>
          <w:rFonts w:ascii="Times New Roman" w:hAnsi="Times New Roman"/>
          <w:sz w:val="20"/>
          <w:szCs w:val="20"/>
          <w:lang w:val="en-US" w:eastAsia="es-ES"/>
        </w:rPr>
        <w:t>“</w:t>
      </w:r>
      <w:r w:rsidRPr="00330033">
        <w:rPr>
          <w:rFonts w:ascii="Times New Roman" w:hAnsi="Times New Roman"/>
          <w:sz w:val="20"/>
          <w:szCs w:val="20"/>
          <w:lang w:val="en-US" w:eastAsia="es-ES"/>
        </w:rPr>
        <w:t>Evaluation of landscape sustainability of protected areas and identification of its correlation factors: a case study of Beijing, China</w:t>
      </w:r>
      <w:r w:rsidR="000F2C7D">
        <w:rPr>
          <w:rFonts w:ascii="Times New Roman" w:hAnsi="Times New Roman"/>
          <w:sz w:val="20"/>
          <w:szCs w:val="20"/>
          <w:lang w:val="en-US" w:eastAsia="es-ES"/>
        </w:rPr>
        <w:t>”</w:t>
      </w:r>
      <w:r w:rsidRPr="00330033">
        <w:rPr>
          <w:rFonts w:ascii="Times New Roman" w:hAnsi="Times New Roman"/>
          <w:sz w:val="20"/>
          <w:szCs w:val="20"/>
          <w:lang w:val="en-US" w:eastAsia="es-ES"/>
        </w:rPr>
        <w:t>. </w:t>
      </w:r>
      <w:proofErr w:type="spellStart"/>
      <w:r w:rsidRPr="000F2C7D">
        <w:rPr>
          <w:rFonts w:ascii="Times New Roman" w:hAnsi="Times New Roman"/>
          <w:i/>
          <w:iCs/>
          <w:sz w:val="20"/>
          <w:szCs w:val="20"/>
          <w:lang w:val="es-ES" w:eastAsia="es-ES"/>
        </w:rPr>
        <w:t>Landsc</w:t>
      </w:r>
      <w:r w:rsidR="000F2C7D">
        <w:rPr>
          <w:rFonts w:ascii="Times New Roman" w:hAnsi="Times New Roman"/>
          <w:i/>
          <w:iCs/>
          <w:sz w:val="20"/>
          <w:szCs w:val="20"/>
          <w:lang w:val="es-ES" w:eastAsia="es-ES"/>
        </w:rPr>
        <w:t>ape</w:t>
      </w:r>
      <w:proofErr w:type="spellEnd"/>
      <w:r w:rsidRPr="000F2C7D">
        <w:rPr>
          <w:rFonts w:ascii="Times New Roman" w:hAnsi="Times New Roman"/>
          <w:i/>
          <w:iCs/>
          <w:sz w:val="20"/>
          <w:szCs w:val="20"/>
          <w:lang w:val="es-ES" w:eastAsia="es-ES"/>
        </w:rPr>
        <w:t xml:space="preserve"> </w:t>
      </w:r>
      <w:proofErr w:type="spellStart"/>
      <w:r w:rsidRPr="000F2C7D">
        <w:rPr>
          <w:rFonts w:ascii="Times New Roman" w:hAnsi="Times New Roman"/>
          <w:i/>
          <w:iCs/>
          <w:sz w:val="20"/>
          <w:szCs w:val="20"/>
          <w:lang w:val="es-ES" w:eastAsia="es-ES"/>
        </w:rPr>
        <w:t>Ecol</w:t>
      </w:r>
      <w:r w:rsidR="000F2C7D">
        <w:rPr>
          <w:rFonts w:ascii="Times New Roman" w:hAnsi="Times New Roman"/>
          <w:i/>
          <w:iCs/>
          <w:sz w:val="20"/>
          <w:szCs w:val="20"/>
          <w:lang w:val="es-ES" w:eastAsia="es-ES"/>
        </w:rPr>
        <w:t>ogy</w:t>
      </w:r>
      <w:proofErr w:type="spellEnd"/>
      <w:r w:rsidR="000F2C7D">
        <w:rPr>
          <w:rFonts w:ascii="Times New Roman" w:hAnsi="Times New Roman"/>
          <w:sz w:val="20"/>
          <w:szCs w:val="20"/>
          <w:lang w:val="es-ES" w:eastAsia="es-ES"/>
        </w:rPr>
        <w:t xml:space="preserve">, </w:t>
      </w:r>
      <w:r w:rsidRPr="00330033">
        <w:rPr>
          <w:rFonts w:ascii="Times New Roman" w:hAnsi="Times New Roman"/>
          <w:sz w:val="20"/>
          <w:szCs w:val="20"/>
          <w:lang w:val="es-ES" w:eastAsia="es-ES"/>
        </w:rPr>
        <w:t>39</w:t>
      </w:r>
      <w:r w:rsidR="000F2C7D">
        <w:rPr>
          <w:rFonts w:ascii="Times New Roman" w:hAnsi="Times New Roman"/>
          <w:sz w:val="20"/>
          <w:szCs w:val="20"/>
          <w:lang w:val="es-ES" w:eastAsia="es-ES"/>
        </w:rPr>
        <w:t>:</w:t>
      </w:r>
      <w:r w:rsidRPr="00330033">
        <w:rPr>
          <w:rFonts w:ascii="Times New Roman" w:hAnsi="Times New Roman"/>
          <w:sz w:val="20"/>
          <w:szCs w:val="20"/>
          <w:lang w:val="es-ES" w:eastAsia="es-ES"/>
        </w:rPr>
        <w:t xml:space="preserve">98. </w:t>
      </w:r>
      <w:hyperlink r:id="rId23" w:history="1">
        <w:r w:rsidRPr="0003262A">
          <w:rPr>
            <w:rStyle w:val="Hipervnculo"/>
            <w:rFonts w:ascii="Times New Roman" w:hAnsi="Times New Roman"/>
            <w:sz w:val="20"/>
            <w:szCs w:val="20"/>
            <w:lang w:val="es-ES" w:eastAsia="es-ES"/>
          </w:rPr>
          <w:t>https://doi.org/10.1007/s10980-024-01872-6</w:t>
        </w:r>
      </w:hyperlink>
      <w:r w:rsidR="000F2C7D" w:rsidRPr="000F2C7D">
        <w:rPr>
          <w:rFonts w:ascii="Times New Roman" w:hAnsi="Times New Roman"/>
          <w:sz w:val="20"/>
          <w:szCs w:val="20"/>
        </w:rPr>
        <w:t>.</w:t>
      </w:r>
    </w:p>
    <w:p w14:paraId="0A715E8C" w14:textId="41690B5E" w:rsidR="009E7BEF" w:rsidRPr="00EF686C" w:rsidRDefault="009E7BEF" w:rsidP="00E97D9C">
      <w:pPr>
        <w:spacing w:after="60" w:line="240" w:lineRule="auto"/>
        <w:ind w:left="567" w:hanging="567"/>
        <w:jc w:val="both"/>
        <w:rPr>
          <w:rFonts w:ascii="Times New Roman" w:hAnsi="Times New Roman"/>
          <w:sz w:val="20"/>
          <w:szCs w:val="20"/>
          <w:lang w:val="es-ES" w:eastAsia="es-ES"/>
        </w:rPr>
      </w:pPr>
      <w:r w:rsidRPr="000F2C7D">
        <w:rPr>
          <w:rFonts w:ascii="Times New Roman" w:hAnsi="Times New Roman"/>
          <w:sz w:val="20"/>
          <w:szCs w:val="20"/>
          <w:lang w:val="es-ES" w:eastAsia="es-ES"/>
        </w:rPr>
        <w:t xml:space="preserve">Martínez-Valderrama, J., </w:t>
      </w:r>
      <w:proofErr w:type="spellStart"/>
      <w:r w:rsidRPr="000F2C7D">
        <w:rPr>
          <w:rFonts w:ascii="Times New Roman" w:hAnsi="Times New Roman"/>
          <w:sz w:val="20"/>
          <w:szCs w:val="20"/>
          <w:lang w:val="es-ES" w:eastAsia="es-ES"/>
        </w:rPr>
        <w:t>Gartzia</w:t>
      </w:r>
      <w:proofErr w:type="spellEnd"/>
      <w:r w:rsidRPr="000F2C7D">
        <w:rPr>
          <w:rFonts w:ascii="Times New Roman" w:hAnsi="Times New Roman"/>
          <w:sz w:val="20"/>
          <w:szCs w:val="20"/>
          <w:lang w:val="es-ES" w:eastAsia="es-ES"/>
        </w:rPr>
        <w:t xml:space="preserve">, R., </w:t>
      </w:r>
      <w:proofErr w:type="spellStart"/>
      <w:r w:rsidRPr="000F2C7D">
        <w:rPr>
          <w:rFonts w:ascii="Times New Roman" w:hAnsi="Times New Roman"/>
          <w:sz w:val="20"/>
          <w:szCs w:val="20"/>
          <w:lang w:val="es-ES" w:eastAsia="es-ES"/>
        </w:rPr>
        <w:t>Olcina</w:t>
      </w:r>
      <w:proofErr w:type="spellEnd"/>
      <w:r w:rsidRPr="000F2C7D">
        <w:rPr>
          <w:rFonts w:ascii="Times New Roman" w:hAnsi="Times New Roman"/>
          <w:sz w:val="20"/>
          <w:szCs w:val="20"/>
          <w:lang w:val="es-ES" w:eastAsia="es-ES"/>
        </w:rPr>
        <w:t>, J., Guirado, E., Ibáñez, J.</w:t>
      </w:r>
      <w:r w:rsidR="000F2C7D" w:rsidRPr="000F2C7D">
        <w:rPr>
          <w:rFonts w:ascii="Times New Roman" w:hAnsi="Times New Roman"/>
          <w:sz w:val="20"/>
          <w:szCs w:val="20"/>
          <w:lang w:val="es-ES" w:eastAsia="es-ES"/>
        </w:rPr>
        <w:t xml:space="preserve"> </w:t>
      </w:r>
      <w:r w:rsidR="000F2C7D">
        <w:rPr>
          <w:rFonts w:ascii="Times New Roman" w:hAnsi="Times New Roman"/>
          <w:sz w:val="20"/>
          <w:szCs w:val="20"/>
          <w:lang w:val="es-ES" w:eastAsia="es-ES"/>
        </w:rPr>
        <w:t>y</w:t>
      </w:r>
      <w:r w:rsidRPr="000F2C7D">
        <w:rPr>
          <w:rFonts w:ascii="Times New Roman" w:hAnsi="Times New Roman"/>
          <w:sz w:val="20"/>
          <w:szCs w:val="20"/>
          <w:lang w:val="es-ES" w:eastAsia="es-ES"/>
        </w:rPr>
        <w:t xml:space="preserve"> Maestre FT</w:t>
      </w:r>
      <w:r w:rsidRPr="000F2C7D">
        <w:rPr>
          <w:rFonts w:ascii="Times New Roman" w:hAnsi="Times New Roman"/>
          <w:i/>
          <w:iCs/>
          <w:sz w:val="20"/>
          <w:szCs w:val="20"/>
          <w:lang w:val="es-ES" w:eastAsia="es-ES"/>
        </w:rPr>
        <w:t>.</w:t>
      </w:r>
      <w:r w:rsidRPr="000F2C7D">
        <w:rPr>
          <w:rFonts w:ascii="Times New Roman" w:hAnsi="Times New Roman"/>
          <w:sz w:val="20"/>
          <w:szCs w:val="20"/>
          <w:lang w:val="es-ES" w:eastAsia="es-ES"/>
        </w:rPr>
        <w:t> </w:t>
      </w:r>
      <w:r w:rsidR="000F2C7D" w:rsidRPr="000F2C7D">
        <w:rPr>
          <w:rFonts w:ascii="Times New Roman" w:hAnsi="Times New Roman"/>
          <w:sz w:val="20"/>
          <w:szCs w:val="20"/>
          <w:lang w:val="en-US" w:eastAsia="es-ES"/>
        </w:rPr>
        <w:t>(2024). “</w:t>
      </w:r>
      <w:r w:rsidRPr="000F2C7D">
        <w:rPr>
          <w:rFonts w:ascii="Times New Roman" w:hAnsi="Times New Roman"/>
          <w:sz w:val="20"/>
          <w:szCs w:val="20"/>
          <w:lang w:val="en-US" w:eastAsia="es-ES"/>
        </w:rPr>
        <w:t>Uberizing Agriculture in Drylands: A Few Enriched, Everyone Endangered</w:t>
      </w:r>
      <w:r w:rsidR="000F2C7D" w:rsidRPr="000F2C7D">
        <w:rPr>
          <w:rFonts w:ascii="Times New Roman" w:hAnsi="Times New Roman"/>
          <w:sz w:val="20"/>
          <w:szCs w:val="20"/>
          <w:lang w:val="en-US" w:eastAsia="es-ES"/>
        </w:rPr>
        <w:t>”</w:t>
      </w:r>
      <w:r w:rsidRPr="000F2C7D">
        <w:rPr>
          <w:rFonts w:ascii="Times New Roman" w:hAnsi="Times New Roman"/>
          <w:sz w:val="20"/>
          <w:szCs w:val="20"/>
          <w:lang w:val="en-US" w:eastAsia="es-ES"/>
        </w:rPr>
        <w:t>. </w:t>
      </w:r>
      <w:r w:rsidRPr="009E7BEF">
        <w:rPr>
          <w:rFonts w:ascii="Times New Roman" w:hAnsi="Times New Roman"/>
          <w:i/>
          <w:iCs/>
          <w:sz w:val="20"/>
          <w:szCs w:val="20"/>
          <w:lang w:val="en-GB" w:eastAsia="es-ES"/>
        </w:rPr>
        <w:t>Water Resour</w:t>
      </w:r>
      <w:r w:rsidR="000F2C7D">
        <w:rPr>
          <w:rFonts w:ascii="Times New Roman" w:hAnsi="Times New Roman"/>
          <w:i/>
          <w:iCs/>
          <w:sz w:val="20"/>
          <w:szCs w:val="20"/>
          <w:lang w:val="en-GB" w:eastAsia="es-ES"/>
        </w:rPr>
        <w:t>ces</w:t>
      </w:r>
      <w:r w:rsidRPr="009E7BEF">
        <w:rPr>
          <w:rFonts w:ascii="Times New Roman" w:hAnsi="Times New Roman"/>
          <w:i/>
          <w:iCs/>
          <w:sz w:val="20"/>
          <w:szCs w:val="20"/>
          <w:lang w:val="en-GB" w:eastAsia="es-ES"/>
        </w:rPr>
        <w:t xml:space="preserve"> Manage</w:t>
      </w:r>
      <w:r w:rsidR="000F2C7D">
        <w:rPr>
          <w:rFonts w:ascii="Times New Roman" w:hAnsi="Times New Roman"/>
          <w:i/>
          <w:iCs/>
          <w:sz w:val="20"/>
          <w:szCs w:val="20"/>
          <w:lang w:val="en-GB" w:eastAsia="es-ES"/>
        </w:rPr>
        <w:t>ment</w:t>
      </w:r>
      <w:r w:rsidR="000F2C7D" w:rsidRPr="000F2C7D">
        <w:rPr>
          <w:rFonts w:ascii="Times New Roman" w:hAnsi="Times New Roman"/>
          <w:sz w:val="20"/>
          <w:szCs w:val="20"/>
          <w:lang w:val="en-GB" w:eastAsia="es-ES"/>
        </w:rPr>
        <w:t>,</w:t>
      </w:r>
      <w:r w:rsidRPr="009E7BEF">
        <w:rPr>
          <w:rFonts w:ascii="Times New Roman" w:hAnsi="Times New Roman"/>
          <w:sz w:val="20"/>
          <w:szCs w:val="20"/>
          <w:lang w:val="en-GB" w:eastAsia="es-ES"/>
        </w:rPr>
        <w:t> </w:t>
      </w:r>
      <w:r w:rsidRPr="000F2C7D">
        <w:rPr>
          <w:rFonts w:ascii="Times New Roman" w:hAnsi="Times New Roman"/>
          <w:sz w:val="20"/>
          <w:szCs w:val="20"/>
          <w:lang w:val="en-GB" w:eastAsia="es-ES"/>
        </w:rPr>
        <w:t>38</w:t>
      </w:r>
      <w:r w:rsidR="000F2C7D" w:rsidRPr="000F2C7D">
        <w:rPr>
          <w:rFonts w:ascii="Times New Roman" w:hAnsi="Times New Roman"/>
          <w:sz w:val="20"/>
          <w:szCs w:val="20"/>
          <w:lang w:val="en-GB" w:eastAsia="es-ES"/>
        </w:rPr>
        <w:t>:</w:t>
      </w:r>
      <w:r w:rsidRPr="009E7BEF">
        <w:rPr>
          <w:rFonts w:ascii="Times New Roman" w:hAnsi="Times New Roman"/>
          <w:sz w:val="20"/>
          <w:szCs w:val="20"/>
          <w:lang w:val="en-GB" w:eastAsia="es-ES"/>
        </w:rPr>
        <w:t xml:space="preserve">193–214. </w:t>
      </w:r>
      <w:hyperlink r:id="rId24" w:history="1">
        <w:r w:rsidRPr="00EF686C">
          <w:rPr>
            <w:rStyle w:val="Hipervnculo"/>
            <w:rFonts w:ascii="Times New Roman" w:hAnsi="Times New Roman"/>
            <w:sz w:val="20"/>
            <w:szCs w:val="20"/>
            <w:lang w:val="es-ES" w:eastAsia="es-ES"/>
          </w:rPr>
          <w:t>https://doi.org/10.1007/s11269-023-03663-1</w:t>
        </w:r>
      </w:hyperlink>
      <w:r w:rsidRPr="00EF686C">
        <w:rPr>
          <w:rFonts w:ascii="Times New Roman" w:hAnsi="Times New Roman"/>
          <w:sz w:val="20"/>
          <w:szCs w:val="20"/>
          <w:lang w:val="es-ES" w:eastAsia="es-ES"/>
        </w:rPr>
        <w:t>.</w:t>
      </w:r>
    </w:p>
    <w:p w14:paraId="0BED3FFA" w14:textId="14837235" w:rsidR="009E7BEF" w:rsidRPr="00CF351F" w:rsidRDefault="00CF351F" w:rsidP="00E97D9C">
      <w:pPr>
        <w:spacing w:after="60" w:line="240" w:lineRule="auto"/>
        <w:ind w:left="567" w:hanging="567"/>
        <w:jc w:val="both"/>
        <w:rPr>
          <w:rFonts w:ascii="Times New Roman" w:hAnsi="Times New Roman"/>
          <w:sz w:val="20"/>
          <w:szCs w:val="20"/>
          <w:lang w:eastAsia="es-ES"/>
        </w:rPr>
      </w:pPr>
      <w:r w:rsidRPr="00CF351F">
        <w:rPr>
          <w:rFonts w:ascii="Times New Roman" w:hAnsi="Times New Roman"/>
          <w:sz w:val="20"/>
          <w:szCs w:val="20"/>
          <w:lang w:eastAsia="es-ES"/>
        </w:rPr>
        <w:t>Martínez-Valderrama, J., Olcina, J., Delacámara, G.</w:t>
      </w:r>
      <w:r w:rsidR="000F2C7D">
        <w:rPr>
          <w:rFonts w:ascii="Times New Roman" w:hAnsi="Times New Roman"/>
          <w:sz w:val="20"/>
          <w:szCs w:val="20"/>
          <w:lang w:eastAsia="es-ES"/>
        </w:rPr>
        <w:t>, Guirado, E. y Maestre, F. T.. (2023). “</w:t>
      </w:r>
      <w:r w:rsidRPr="00CF351F">
        <w:rPr>
          <w:rFonts w:ascii="Times New Roman" w:hAnsi="Times New Roman"/>
          <w:sz w:val="20"/>
          <w:szCs w:val="20"/>
          <w:lang w:eastAsia="es-ES"/>
        </w:rPr>
        <w:t>Complex Policy Mixes are Needed to Cope with Agricultural Water Demands Under Climate Change</w:t>
      </w:r>
      <w:r w:rsidR="000F2C7D">
        <w:rPr>
          <w:rFonts w:ascii="Times New Roman" w:hAnsi="Times New Roman"/>
          <w:sz w:val="20"/>
          <w:szCs w:val="20"/>
          <w:lang w:eastAsia="es-ES"/>
        </w:rPr>
        <w:t>”</w:t>
      </w:r>
      <w:r w:rsidRPr="00CF351F">
        <w:rPr>
          <w:rFonts w:ascii="Times New Roman" w:hAnsi="Times New Roman"/>
          <w:sz w:val="20"/>
          <w:szCs w:val="20"/>
          <w:lang w:eastAsia="es-ES"/>
        </w:rPr>
        <w:t>. </w:t>
      </w:r>
      <w:r w:rsidRPr="00CF351F">
        <w:rPr>
          <w:rFonts w:ascii="Times New Roman" w:hAnsi="Times New Roman"/>
          <w:i/>
          <w:iCs/>
          <w:sz w:val="20"/>
          <w:szCs w:val="20"/>
          <w:lang w:eastAsia="es-ES"/>
        </w:rPr>
        <w:t>Water Resour</w:t>
      </w:r>
      <w:r w:rsidR="000F2C7D">
        <w:rPr>
          <w:rFonts w:ascii="Times New Roman" w:hAnsi="Times New Roman"/>
          <w:i/>
          <w:iCs/>
          <w:sz w:val="20"/>
          <w:szCs w:val="20"/>
          <w:lang w:eastAsia="es-ES"/>
        </w:rPr>
        <w:t>ces</w:t>
      </w:r>
      <w:r w:rsidRPr="00CF351F">
        <w:rPr>
          <w:rFonts w:ascii="Times New Roman" w:hAnsi="Times New Roman"/>
          <w:i/>
          <w:iCs/>
          <w:sz w:val="20"/>
          <w:szCs w:val="20"/>
          <w:lang w:eastAsia="es-ES"/>
        </w:rPr>
        <w:t xml:space="preserve"> Manage</w:t>
      </w:r>
      <w:r w:rsidR="000F2C7D">
        <w:rPr>
          <w:rFonts w:ascii="Times New Roman" w:hAnsi="Times New Roman"/>
          <w:sz w:val="20"/>
          <w:szCs w:val="20"/>
          <w:lang w:eastAsia="es-ES"/>
        </w:rPr>
        <w:t xml:space="preserve">ment, </w:t>
      </w:r>
      <w:r w:rsidRPr="000F2C7D">
        <w:rPr>
          <w:rFonts w:ascii="Times New Roman" w:hAnsi="Times New Roman"/>
          <w:sz w:val="20"/>
          <w:szCs w:val="20"/>
          <w:lang w:eastAsia="es-ES"/>
        </w:rPr>
        <w:t>37</w:t>
      </w:r>
      <w:r w:rsidR="000F2C7D" w:rsidRPr="000F2C7D">
        <w:rPr>
          <w:rFonts w:ascii="Times New Roman" w:hAnsi="Times New Roman"/>
          <w:sz w:val="20"/>
          <w:szCs w:val="20"/>
          <w:lang w:eastAsia="es-ES"/>
        </w:rPr>
        <w:t>:</w:t>
      </w:r>
      <w:r w:rsidRPr="00CF351F">
        <w:rPr>
          <w:rFonts w:ascii="Times New Roman" w:hAnsi="Times New Roman"/>
          <w:sz w:val="20"/>
          <w:szCs w:val="20"/>
          <w:lang w:eastAsia="es-ES"/>
        </w:rPr>
        <w:t xml:space="preserve">2805–2834. </w:t>
      </w:r>
      <w:hyperlink r:id="rId25" w:history="1">
        <w:r w:rsidRPr="00D223F6">
          <w:rPr>
            <w:rStyle w:val="Hipervnculo"/>
            <w:rFonts w:ascii="Times New Roman" w:hAnsi="Times New Roman"/>
            <w:sz w:val="20"/>
            <w:szCs w:val="20"/>
            <w:lang w:eastAsia="es-ES"/>
          </w:rPr>
          <w:t>https://doi.org/10.1007/s11269-023-03481-5</w:t>
        </w:r>
      </w:hyperlink>
      <w:r>
        <w:rPr>
          <w:rFonts w:ascii="Times New Roman" w:hAnsi="Times New Roman"/>
          <w:sz w:val="20"/>
          <w:szCs w:val="20"/>
          <w:lang w:eastAsia="es-ES"/>
        </w:rPr>
        <w:t>.</w:t>
      </w:r>
    </w:p>
    <w:p w14:paraId="10C58BB0" w14:textId="3FABE080" w:rsidR="00096F07" w:rsidRPr="00E80502" w:rsidRDefault="00096F07" w:rsidP="00FC1E85">
      <w:pPr>
        <w:spacing w:after="60" w:line="240" w:lineRule="auto"/>
        <w:ind w:left="709" w:hanging="709"/>
        <w:jc w:val="both"/>
        <w:rPr>
          <w:rFonts w:ascii="Times New Roman" w:hAnsi="Times New Roman"/>
          <w:sz w:val="20"/>
          <w:szCs w:val="20"/>
          <w:lang w:val="es-ES" w:eastAsia="es-ES"/>
        </w:rPr>
      </w:pPr>
      <w:r w:rsidRPr="00096F07">
        <w:rPr>
          <w:rFonts w:ascii="Times New Roman" w:hAnsi="Times New Roman"/>
          <w:sz w:val="20"/>
          <w:szCs w:val="20"/>
          <w:lang w:val="en-US" w:eastAsia="es-ES"/>
        </w:rPr>
        <w:t xml:space="preserve">Montgomery, D. C. (2017). </w:t>
      </w:r>
      <w:r w:rsidR="00981645">
        <w:rPr>
          <w:rFonts w:ascii="Times New Roman" w:hAnsi="Times New Roman"/>
          <w:sz w:val="20"/>
          <w:szCs w:val="20"/>
          <w:lang w:val="en-US" w:eastAsia="es-ES"/>
        </w:rPr>
        <w:t>“</w:t>
      </w:r>
      <w:r w:rsidRPr="00096F07">
        <w:rPr>
          <w:rFonts w:ascii="Times New Roman" w:hAnsi="Times New Roman"/>
          <w:sz w:val="20"/>
          <w:szCs w:val="20"/>
          <w:lang w:val="en-US" w:eastAsia="es-ES"/>
        </w:rPr>
        <w:t>Design and Analysis of Experiments (9th ed.)</w:t>
      </w:r>
      <w:r w:rsidR="00780862">
        <w:rPr>
          <w:rFonts w:ascii="Times New Roman" w:hAnsi="Times New Roman"/>
          <w:sz w:val="20"/>
          <w:szCs w:val="20"/>
          <w:lang w:val="en-US" w:eastAsia="es-ES"/>
        </w:rPr>
        <w:t>”</w:t>
      </w:r>
      <w:r w:rsidRPr="00096F07">
        <w:rPr>
          <w:rFonts w:ascii="Times New Roman" w:hAnsi="Times New Roman"/>
          <w:sz w:val="20"/>
          <w:szCs w:val="20"/>
          <w:lang w:val="en-US" w:eastAsia="es-ES"/>
        </w:rPr>
        <w:t xml:space="preserve">. </w:t>
      </w:r>
      <w:r w:rsidRPr="00E80502">
        <w:rPr>
          <w:rFonts w:ascii="Times New Roman" w:hAnsi="Times New Roman"/>
          <w:sz w:val="20"/>
          <w:szCs w:val="20"/>
          <w:lang w:val="es-ES" w:eastAsia="es-ES"/>
        </w:rPr>
        <w:t>Wiley</w:t>
      </w:r>
      <w:r w:rsidR="00780862" w:rsidRPr="00E80502">
        <w:rPr>
          <w:rFonts w:ascii="Times New Roman" w:hAnsi="Times New Roman"/>
          <w:sz w:val="20"/>
          <w:szCs w:val="20"/>
          <w:lang w:val="es-ES" w:eastAsia="es-ES"/>
        </w:rPr>
        <w:t>, New Jersey</w:t>
      </w:r>
      <w:r w:rsidRPr="00E80502">
        <w:rPr>
          <w:rFonts w:ascii="Times New Roman" w:hAnsi="Times New Roman"/>
          <w:sz w:val="20"/>
          <w:szCs w:val="20"/>
          <w:lang w:val="es-ES" w:eastAsia="es-ES"/>
        </w:rPr>
        <w:t>.</w:t>
      </w:r>
    </w:p>
    <w:p w14:paraId="508484E2" w14:textId="28D79822" w:rsidR="00CF351F" w:rsidRDefault="00CF351F" w:rsidP="00E97D9C">
      <w:pPr>
        <w:spacing w:after="0" w:line="240" w:lineRule="auto"/>
        <w:ind w:left="567" w:hanging="567"/>
        <w:jc w:val="both"/>
        <w:rPr>
          <w:rFonts w:ascii="Times New Roman" w:hAnsi="Times New Roman"/>
          <w:iCs/>
          <w:snapToGrid w:val="0"/>
          <w:sz w:val="20"/>
          <w:szCs w:val="20"/>
          <w:lang w:eastAsia="es-ES"/>
        </w:rPr>
      </w:pPr>
      <w:r w:rsidRPr="00CF351F">
        <w:rPr>
          <w:rFonts w:ascii="Times New Roman" w:hAnsi="Times New Roman"/>
          <w:iCs/>
          <w:snapToGrid w:val="0"/>
          <w:sz w:val="20"/>
          <w:szCs w:val="20"/>
          <w:lang w:eastAsia="es-ES"/>
        </w:rPr>
        <w:t>Pulido-Bosch, A., Vallejos, A., Sola, F.</w:t>
      </w:r>
      <w:r w:rsidR="000F2C7D">
        <w:rPr>
          <w:rFonts w:ascii="Times New Roman" w:hAnsi="Times New Roman"/>
          <w:iCs/>
          <w:snapToGrid w:val="0"/>
          <w:sz w:val="20"/>
          <w:szCs w:val="20"/>
          <w:lang w:eastAsia="es-ES"/>
        </w:rPr>
        <w:t xml:space="preserve"> y</w:t>
      </w:r>
      <w:r w:rsidRPr="00CF351F">
        <w:rPr>
          <w:rFonts w:ascii="Times New Roman" w:hAnsi="Times New Roman"/>
          <w:iCs/>
          <w:snapToGrid w:val="0"/>
          <w:sz w:val="20"/>
          <w:szCs w:val="20"/>
          <w:lang w:eastAsia="es-ES"/>
        </w:rPr>
        <w:t xml:space="preserve"> Molina, L. (2020). </w:t>
      </w:r>
      <w:r w:rsidR="000F2C7D">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Groundwater Sustainability Strategies in the Sierra de Gador-Campo de Dalias System, Southeast Spain</w:t>
      </w:r>
      <w:r w:rsidR="000F2C7D">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 </w:t>
      </w:r>
      <w:r w:rsidRPr="00CF351F">
        <w:rPr>
          <w:rFonts w:ascii="Times New Roman" w:hAnsi="Times New Roman"/>
          <w:i/>
          <w:iCs/>
          <w:snapToGrid w:val="0"/>
          <w:sz w:val="20"/>
          <w:szCs w:val="20"/>
          <w:lang w:eastAsia="es-ES"/>
        </w:rPr>
        <w:t>Water</w:t>
      </w:r>
      <w:r w:rsidRPr="00CF351F">
        <w:rPr>
          <w:rFonts w:ascii="Times New Roman" w:hAnsi="Times New Roman"/>
          <w:iCs/>
          <w:snapToGrid w:val="0"/>
          <w:sz w:val="20"/>
          <w:szCs w:val="20"/>
          <w:lang w:eastAsia="es-ES"/>
        </w:rPr>
        <w:t>, </w:t>
      </w:r>
      <w:r w:rsidRPr="000F2C7D">
        <w:rPr>
          <w:rFonts w:ascii="Times New Roman" w:hAnsi="Times New Roman"/>
          <w:snapToGrid w:val="0"/>
          <w:sz w:val="20"/>
          <w:szCs w:val="20"/>
          <w:lang w:eastAsia="es-ES"/>
        </w:rPr>
        <w:t>12</w:t>
      </w:r>
      <w:r w:rsidRPr="00CF351F">
        <w:rPr>
          <w:rFonts w:ascii="Times New Roman" w:hAnsi="Times New Roman"/>
          <w:iCs/>
          <w:snapToGrid w:val="0"/>
          <w:sz w:val="20"/>
          <w:szCs w:val="20"/>
          <w:lang w:eastAsia="es-ES"/>
        </w:rPr>
        <w:t>(11)</w:t>
      </w:r>
      <w:r w:rsidR="000F2C7D">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 xml:space="preserve">3262. </w:t>
      </w:r>
      <w:hyperlink r:id="rId26" w:history="1">
        <w:r w:rsidRPr="00D223F6">
          <w:rPr>
            <w:rStyle w:val="Hipervnculo"/>
            <w:rFonts w:ascii="Times New Roman" w:hAnsi="Times New Roman"/>
            <w:iCs/>
            <w:snapToGrid w:val="0"/>
            <w:sz w:val="20"/>
            <w:szCs w:val="20"/>
            <w:lang w:eastAsia="es-ES"/>
          </w:rPr>
          <w:t>https://doi.org/10.3390/w12113262</w:t>
        </w:r>
      </w:hyperlink>
      <w:r w:rsidR="000F2C7D" w:rsidRPr="000F2C7D">
        <w:rPr>
          <w:rFonts w:ascii="Times New Roman" w:hAnsi="Times New Roman"/>
          <w:sz w:val="20"/>
          <w:szCs w:val="20"/>
        </w:rPr>
        <w:t>.</w:t>
      </w:r>
    </w:p>
    <w:p w14:paraId="285DFCCA" w14:textId="77CF17CE" w:rsidR="00096F07" w:rsidRDefault="00096F07" w:rsidP="00E97D9C">
      <w:pPr>
        <w:spacing w:after="0" w:line="240" w:lineRule="auto"/>
        <w:ind w:left="567" w:hanging="567"/>
        <w:jc w:val="both"/>
        <w:rPr>
          <w:rFonts w:ascii="Times New Roman" w:hAnsi="Times New Roman"/>
          <w:iCs/>
          <w:snapToGrid w:val="0"/>
          <w:sz w:val="20"/>
          <w:szCs w:val="20"/>
          <w:lang w:eastAsia="es-ES"/>
        </w:rPr>
      </w:pPr>
      <w:r w:rsidRPr="00096F07">
        <w:rPr>
          <w:rFonts w:ascii="Times New Roman" w:hAnsi="Times New Roman"/>
          <w:iCs/>
          <w:snapToGrid w:val="0"/>
          <w:sz w:val="20"/>
          <w:szCs w:val="20"/>
          <w:lang w:eastAsia="es-ES"/>
        </w:rPr>
        <w:lastRenderedPageBreak/>
        <w:t xml:space="preserve">Şahin, M. (2021). </w:t>
      </w:r>
      <w:r w:rsidR="00E97D9C">
        <w:rPr>
          <w:rFonts w:ascii="Times New Roman" w:hAnsi="Times New Roman"/>
          <w:iCs/>
          <w:snapToGrid w:val="0"/>
          <w:sz w:val="20"/>
          <w:szCs w:val="20"/>
          <w:lang w:eastAsia="es-ES"/>
        </w:rPr>
        <w:t>“</w:t>
      </w:r>
      <w:r w:rsidRPr="00096F07">
        <w:rPr>
          <w:rFonts w:ascii="Times New Roman" w:hAnsi="Times New Roman"/>
          <w:iCs/>
          <w:snapToGrid w:val="0"/>
          <w:sz w:val="20"/>
          <w:szCs w:val="20"/>
          <w:lang w:eastAsia="es-ES"/>
        </w:rPr>
        <w:t>A comprehensive analysis of weighting and multicriteria methods in the context of sustainable energy</w:t>
      </w:r>
      <w:r w:rsidR="00E97D9C">
        <w:rPr>
          <w:rFonts w:ascii="Times New Roman" w:hAnsi="Times New Roman"/>
          <w:iCs/>
          <w:snapToGrid w:val="0"/>
          <w:sz w:val="20"/>
          <w:szCs w:val="20"/>
          <w:lang w:eastAsia="es-ES"/>
        </w:rPr>
        <w:t>”</w:t>
      </w:r>
      <w:r w:rsidRPr="00096F07">
        <w:rPr>
          <w:rFonts w:ascii="Times New Roman" w:hAnsi="Times New Roman"/>
          <w:iCs/>
          <w:snapToGrid w:val="0"/>
          <w:sz w:val="20"/>
          <w:szCs w:val="20"/>
          <w:lang w:eastAsia="es-ES"/>
        </w:rPr>
        <w:t>. </w:t>
      </w:r>
      <w:r w:rsidRPr="00E97D9C">
        <w:rPr>
          <w:rFonts w:ascii="Times New Roman" w:hAnsi="Times New Roman"/>
          <w:i/>
          <w:snapToGrid w:val="0"/>
          <w:sz w:val="20"/>
          <w:szCs w:val="20"/>
          <w:lang w:eastAsia="es-ES"/>
        </w:rPr>
        <w:t>Int</w:t>
      </w:r>
      <w:r w:rsidR="00E97D9C" w:rsidRPr="00E97D9C">
        <w:rPr>
          <w:rFonts w:ascii="Times New Roman" w:hAnsi="Times New Roman"/>
          <w:i/>
          <w:snapToGrid w:val="0"/>
          <w:sz w:val="20"/>
          <w:szCs w:val="20"/>
          <w:lang w:eastAsia="es-ES"/>
        </w:rPr>
        <w:t>ernational</w:t>
      </w:r>
      <w:r w:rsidRPr="00E97D9C">
        <w:rPr>
          <w:rFonts w:ascii="Times New Roman" w:hAnsi="Times New Roman"/>
          <w:i/>
          <w:snapToGrid w:val="0"/>
          <w:sz w:val="20"/>
          <w:szCs w:val="20"/>
          <w:lang w:eastAsia="es-ES"/>
        </w:rPr>
        <w:t xml:space="preserve"> J</w:t>
      </w:r>
      <w:r w:rsidR="00E97D9C" w:rsidRPr="00E97D9C">
        <w:rPr>
          <w:rFonts w:ascii="Times New Roman" w:hAnsi="Times New Roman"/>
          <w:i/>
          <w:snapToGrid w:val="0"/>
          <w:sz w:val="20"/>
          <w:szCs w:val="20"/>
          <w:lang w:eastAsia="es-ES"/>
        </w:rPr>
        <w:t>ournal of</w:t>
      </w:r>
      <w:r w:rsidRPr="00E97D9C">
        <w:rPr>
          <w:rFonts w:ascii="Times New Roman" w:hAnsi="Times New Roman"/>
          <w:i/>
          <w:snapToGrid w:val="0"/>
          <w:sz w:val="20"/>
          <w:szCs w:val="20"/>
          <w:lang w:eastAsia="es-ES"/>
        </w:rPr>
        <w:t xml:space="preserve"> Environ</w:t>
      </w:r>
      <w:r w:rsidR="00E97D9C" w:rsidRPr="00E97D9C">
        <w:rPr>
          <w:rFonts w:ascii="Times New Roman" w:hAnsi="Times New Roman"/>
          <w:i/>
          <w:snapToGrid w:val="0"/>
          <w:sz w:val="20"/>
          <w:szCs w:val="20"/>
          <w:lang w:eastAsia="es-ES"/>
        </w:rPr>
        <w:t>mental</w:t>
      </w:r>
      <w:r w:rsidRPr="00E97D9C">
        <w:rPr>
          <w:rFonts w:ascii="Times New Roman" w:hAnsi="Times New Roman"/>
          <w:i/>
          <w:snapToGrid w:val="0"/>
          <w:sz w:val="20"/>
          <w:szCs w:val="20"/>
          <w:lang w:eastAsia="es-ES"/>
        </w:rPr>
        <w:t xml:space="preserve"> Sci</w:t>
      </w:r>
      <w:r w:rsidR="00E97D9C" w:rsidRPr="00E97D9C">
        <w:rPr>
          <w:rFonts w:ascii="Times New Roman" w:hAnsi="Times New Roman"/>
          <w:i/>
          <w:snapToGrid w:val="0"/>
          <w:sz w:val="20"/>
          <w:szCs w:val="20"/>
          <w:lang w:eastAsia="es-ES"/>
        </w:rPr>
        <w:t>ence and</w:t>
      </w:r>
      <w:r w:rsidRPr="00E97D9C">
        <w:rPr>
          <w:rFonts w:ascii="Times New Roman" w:hAnsi="Times New Roman"/>
          <w:i/>
          <w:snapToGrid w:val="0"/>
          <w:sz w:val="20"/>
          <w:szCs w:val="20"/>
          <w:lang w:eastAsia="es-ES"/>
        </w:rPr>
        <w:t xml:space="preserve"> Technol</w:t>
      </w:r>
      <w:r w:rsidR="00E97D9C" w:rsidRPr="00E97D9C">
        <w:rPr>
          <w:rFonts w:ascii="Times New Roman" w:hAnsi="Times New Roman"/>
          <w:i/>
          <w:snapToGrid w:val="0"/>
          <w:sz w:val="20"/>
          <w:szCs w:val="20"/>
          <w:lang w:eastAsia="es-ES"/>
        </w:rPr>
        <w:t>ogy</w:t>
      </w:r>
      <w:r w:rsidR="00E97D9C">
        <w:rPr>
          <w:rFonts w:ascii="Times New Roman" w:hAnsi="Times New Roman"/>
          <w:iCs/>
          <w:snapToGrid w:val="0"/>
          <w:sz w:val="20"/>
          <w:szCs w:val="20"/>
          <w:lang w:eastAsia="es-ES"/>
        </w:rPr>
        <w:t xml:space="preserve">, </w:t>
      </w:r>
      <w:r w:rsidRPr="00096F07">
        <w:rPr>
          <w:rFonts w:ascii="Times New Roman" w:hAnsi="Times New Roman"/>
          <w:iCs/>
          <w:snapToGrid w:val="0"/>
          <w:sz w:val="20"/>
          <w:szCs w:val="20"/>
          <w:lang w:eastAsia="es-ES"/>
        </w:rPr>
        <w:t>18</w:t>
      </w:r>
      <w:r w:rsidR="00E97D9C">
        <w:rPr>
          <w:rFonts w:ascii="Times New Roman" w:hAnsi="Times New Roman"/>
          <w:iCs/>
          <w:snapToGrid w:val="0"/>
          <w:sz w:val="20"/>
          <w:szCs w:val="20"/>
          <w:lang w:eastAsia="es-ES"/>
        </w:rPr>
        <w:t>:</w:t>
      </w:r>
      <w:r w:rsidRPr="00096F07">
        <w:rPr>
          <w:rFonts w:ascii="Times New Roman" w:hAnsi="Times New Roman"/>
          <w:iCs/>
          <w:snapToGrid w:val="0"/>
          <w:sz w:val="20"/>
          <w:szCs w:val="20"/>
          <w:lang w:eastAsia="es-ES"/>
        </w:rPr>
        <w:t xml:space="preserve">1591–1616. </w:t>
      </w:r>
      <w:hyperlink r:id="rId27" w:history="1">
        <w:r w:rsidRPr="0003262A">
          <w:rPr>
            <w:rStyle w:val="Hipervnculo"/>
            <w:rFonts w:ascii="Times New Roman" w:hAnsi="Times New Roman"/>
            <w:iCs/>
            <w:snapToGrid w:val="0"/>
            <w:sz w:val="20"/>
            <w:szCs w:val="20"/>
            <w:lang w:eastAsia="es-ES"/>
          </w:rPr>
          <w:t>https://doi.org/10.1007/s13762-020-02922-7</w:t>
        </w:r>
      </w:hyperlink>
      <w:r w:rsidR="00E97D9C" w:rsidRPr="00E97D9C">
        <w:rPr>
          <w:rFonts w:ascii="Times New Roman" w:hAnsi="Times New Roman"/>
          <w:iCs/>
          <w:snapToGrid w:val="0"/>
          <w:sz w:val="20"/>
          <w:szCs w:val="20"/>
          <w:lang w:eastAsia="es-ES"/>
        </w:rPr>
        <w:t>.</w:t>
      </w:r>
    </w:p>
    <w:p w14:paraId="379AAC66" w14:textId="72F84EE3" w:rsidR="00CF351F" w:rsidRPr="00E12FB0" w:rsidRDefault="00CF351F" w:rsidP="00E12FB0">
      <w:pPr>
        <w:spacing w:after="0" w:line="240" w:lineRule="auto"/>
        <w:ind w:left="567" w:hanging="567"/>
        <w:jc w:val="both"/>
        <w:rPr>
          <w:rFonts w:ascii="Times New Roman" w:hAnsi="Times New Roman"/>
          <w:iCs/>
          <w:snapToGrid w:val="0"/>
          <w:sz w:val="20"/>
          <w:szCs w:val="20"/>
          <w:lang w:eastAsia="es-ES"/>
        </w:rPr>
      </w:pPr>
      <w:r w:rsidRPr="00CF351F">
        <w:rPr>
          <w:rFonts w:ascii="Times New Roman" w:hAnsi="Times New Roman"/>
          <w:iCs/>
          <w:snapToGrid w:val="0"/>
          <w:sz w:val="20"/>
          <w:szCs w:val="20"/>
          <w:lang w:eastAsia="es-ES"/>
        </w:rPr>
        <w:t xml:space="preserve">Sánchez, J.A., Reca, J. </w:t>
      </w:r>
      <w:r w:rsidR="00E97D9C">
        <w:rPr>
          <w:rFonts w:ascii="Times New Roman" w:hAnsi="Times New Roman"/>
          <w:iCs/>
          <w:snapToGrid w:val="0"/>
          <w:sz w:val="20"/>
          <w:szCs w:val="20"/>
          <w:lang w:eastAsia="es-ES"/>
        </w:rPr>
        <w:t>y</w:t>
      </w:r>
      <w:r w:rsidRPr="00CF351F">
        <w:rPr>
          <w:rFonts w:ascii="Times New Roman" w:hAnsi="Times New Roman"/>
          <w:iCs/>
          <w:snapToGrid w:val="0"/>
          <w:sz w:val="20"/>
          <w:szCs w:val="20"/>
          <w:lang w:eastAsia="es-ES"/>
        </w:rPr>
        <w:t xml:space="preserve"> Martínez, J.</w:t>
      </w:r>
      <w:r w:rsidR="00E97D9C">
        <w:rPr>
          <w:rFonts w:ascii="Times New Roman" w:hAnsi="Times New Roman"/>
          <w:iCs/>
          <w:snapToGrid w:val="0"/>
          <w:sz w:val="20"/>
          <w:szCs w:val="20"/>
          <w:lang w:eastAsia="es-ES"/>
        </w:rPr>
        <w:t xml:space="preserve"> (2015).</w:t>
      </w:r>
      <w:r w:rsidRPr="00CF351F">
        <w:rPr>
          <w:rFonts w:ascii="Times New Roman" w:hAnsi="Times New Roman"/>
          <w:iCs/>
          <w:snapToGrid w:val="0"/>
          <w:sz w:val="20"/>
          <w:szCs w:val="20"/>
          <w:lang w:eastAsia="es-ES"/>
        </w:rPr>
        <w:t xml:space="preserve"> </w:t>
      </w:r>
      <w:r w:rsidR="00E97D9C">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Water Productivity in a Mediterranean Semi-Arid Greenhouse District</w:t>
      </w:r>
      <w:r w:rsidR="00E97D9C">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 </w:t>
      </w:r>
      <w:r w:rsidRPr="00CF351F">
        <w:rPr>
          <w:rFonts w:ascii="Times New Roman" w:hAnsi="Times New Roman"/>
          <w:i/>
          <w:iCs/>
          <w:snapToGrid w:val="0"/>
          <w:sz w:val="20"/>
          <w:szCs w:val="20"/>
          <w:lang w:eastAsia="es-ES"/>
        </w:rPr>
        <w:t>Water Resour</w:t>
      </w:r>
      <w:r w:rsidR="00E97D9C">
        <w:rPr>
          <w:rFonts w:ascii="Times New Roman" w:hAnsi="Times New Roman"/>
          <w:i/>
          <w:iCs/>
          <w:snapToGrid w:val="0"/>
          <w:sz w:val="20"/>
          <w:szCs w:val="20"/>
          <w:lang w:eastAsia="es-ES"/>
        </w:rPr>
        <w:t>ces</w:t>
      </w:r>
      <w:r w:rsidRPr="00CF351F">
        <w:rPr>
          <w:rFonts w:ascii="Times New Roman" w:hAnsi="Times New Roman"/>
          <w:i/>
          <w:iCs/>
          <w:snapToGrid w:val="0"/>
          <w:sz w:val="20"/>
          <w:szCs w:val="20"/>
          <w:lang w:eastAsia="es-ES"/>
        </w:rPr>
        <w:t xml:space="preserve"> Manage</w:t>
      </w:r>
      <w:r w:rsidR="00E97D9C">
        <w:rPr>
          <w:rFonts w:ascii="Times New Roman" w:hAnsi="Times New Roman"/>
          <w:i/>
          <w:iCs/>
          <w:snapToGrid w:val="0"/>
          <w:sz w:val="20"/>
          <w:szCs w:val="20"/>
          <w:lang w:eastAsia="es-ES"/>
        </w:rPr>
        <w:t>ment</w:t>
      </w:r>
      <w:r w:rsidR="00E97D9C">
        <w:rPr>
          <w:rFonts w:ascii="Times New Roman" w:hAnsi="Times New Roman"/>
          <w:iCs/>
          <w:snapToGrid w:val="0"/>
          <w:sz w:val="20"/>
          <w:szCs w:val="20"/>
          <w:lang w:eastAsia="es-ES"/>
        </w:rPr>
        <w:t xml:space="preserve">, </w:t>
      </w:r>
      <w:r w:rsidRPr="00E97D9C">
        <w:rPr>
          <w:rFonts w:ascii="Times New Roman" w:hAnsi="Times New Roman"/>
          <w:iCs/>
          <w:snapToGrid w:val="0"/>
          <w:sz w:val="20"/>
          <w:szCs w:val="20"/>
          <w:lang w:eastAsia="es-ES"/>
        </w:rPr>
        <w:t>29</w:t>
      </w:r>
      <w:r w:rsidR="00E97D9C">
        <w:rPr>
          <w:rFonts w:ascii="Times New Roman" w:hAnsi="Times New Roman"/>
          <w:iCs/>
          <w:snapToGrid w:val="0"/>
          <w:sz w:val="20"/>
          <w:szCs w:val="20"/>
          <w:lang w:eastAsia="es-ES"/>
        </w:rPr>
        <w:t>:</w:t>
      </w:r>
      <w:r w:rsidRPr="00CF351F">
        <w:rPr>
          <w:rFonts w:ascii="Times New Roman" w:hAnsi="Times New Roman"/>
          <w:iCs/>
          <w:snapToGrid w:val="0"/>
          <w:sz w:val="20"/>
          <w:szCs w:val="20"/>
          <w:lang w:eastAsia="es-ES"/>
        </w:rPr>
        <w:t xml:space="preserve">5395–5411. </w:t>
      </w:r>
      <w:hyperlink r:id="rId28" w:history="1">
        <w:r w:rsidRPr="00D223F6">
          <w:rPr>
            <w:rStyle w:val="Hipervnculo"/>
            <w:rFonts w:ascii="Times New Roman" w:hAnsi="Times New Roman"/>
            <w:iCs/>
            <w:snapToGrid w:val="0"/>
            <w:sz w:val="20"/>
            <w:szCs w:val="20"/>
            <w:lang w:eastAsia="es-ES"/>
          </w:rPr>
          <w:t>https://doi.org/10.1007/s11269-015-1125-5</w:t>
        </w:r>
      </w:hyperlink>
      <w:r w:rsidR="00E97D9C" w:rsidRPr="00E97D9C">
        <w:rPr>
          <w:rFonts w:ascii="Times New Roman" w:hAnsi="Times New Roman"/>
          <w:sz w:val="20"/>
          <w:szCs w:val="20"/>
        </w:rPr>
        <w:t>.</w:t>
      </w:r>
    </w:p>
    <w:p w14:paraId="126B16A1" w14:textId="07EC005F" w:rsidR="00FB0775" w:rsidRPr="00EC4AAA" w:rsidRDefault="00EC4AAA" w:rsidP="00EC4AAA">
      <w:pPr>
        <w:spacing w:after="60" w:line="240" w:lineRule="auto"/>
        <w:ind w:left="567" w:hanging="567"/>
        <w:jc w:val="both"/>
        <w:rPr>
          <w:rFonts w:ascii="Times New Roman" w:hAnsi="Times New Roman"/>
          <w:sz w:val="20"/>
          <w:szCs w:val="20"/>
          <w:lang w:val="en-US" w:eastAsia="es-ES"/>
        </w:rPr>
      </w:pPr>
      <w:r w:rsidRPr="004C45FD">
        <w:rPr>
          <w:rFonts w:ascii="Times New Roman" w:hAnsi="Times New Roman"/>
          <w:sz w:val="20"/>
          <w:szCs w:val="20"/>
          <w:lang w:val="en-US" w:eastAsia="es-ES"/>
        </w:rPr>
        <w:t xml:space="preserve">Sola, I., Sáez, C.A. y Sánchez-Lizaso, J.L. (2021). </w:t>
      </w:r>
      <w:r w:rsidRPr="00EC4AAA">
        <w:rPr>
          <w:rFonts w:ascii="Times New Roman" w:hAnsi="Times New Roman"/>
          <w:sz w:val="20"/>
          <w:szCs w:val="20"/>
          <w:lang w:val="en-US" w:eastAsia="es-ES"/>
        </w:rPr>
        <w:t>“Evaluating environmental and socioeconomic</w:t>
      </w:r>
      <w:r>
        <w:rPr>
          <w:rFonts w:ascii="Times New Roman" w:hAnsi="Times New Roman"/>
          <w:sz w:val="20"/>
          <w:szCs w:val="20"/>
          <w:lang w:val="en-US" w:eastAsia="es-ES"/>
        </w:rPr>
        <w:t xml:space="preserve"> </w:t>
      </w:r>
      <w:r w:rsidRPr="00EC4AAA">
        <w:rPr>
          <w:rFonts w:ascii="Times New Roman" w:hAnsi="Times New Roman"/>
          <w:sz w:val="20"/>
          <w:szCs w:val="20"/>
          <w:lang w:val="en-US" w:eastAsia="es-ES"/>
        </w:rPr>
        <w:t>requirements for improving desalination development</w:t>
      </w:r>
      <w:r>
        <w:rPr>
          <w:rFonts w:ascii="Times New Roman" w:hAnsi="Times New Roman"/>
          <w:sz w:val="20"/>
          <w:szCs w:val="20"/>
          <w:lang w:val="en-US" w:eastAsia="es-ES"/>
        </w:rPr>
        <w:t>”.</w:t>
      </w:r>
      <w:r w:rsidRPr="00EC4AAA">
        <w:rPr>
          <w:rFonts w:ascii="Times New Roman" w:hAnsi="Times New Roman"/>
          <w:sz w:val="20"/>
          <w:szCs w:val="20"/>
          <w:lang w:val="en-US" w:eastAsia="es-ES"/>
        </w:rPr>
        <w:t xml:space="preserve"> </w:t>
      </w:r>
      <w:r w:rsidRPr="00EC4AAA">
        <w:rPr>
          <w:rFonts w:ascii="Times New Roman" w:hAnsi="Times New Roman"/>
          <w:i/>
          <w:iCs/>
          <w:sz w:val="20"/>
          <w:szCs w:val="20"/>
          <w:lang w:val="en-US" w:eastAsia="es-ES"/>
        </w:rPr>
        <w:t>Journal of Cleaner Production</w:t>
      </w:r>
      <w:r>
        <w:rPr>
          <w:rFonts w:ascii="Times New Roman" w:hAnsi="Times New Roman"/>
          <w:sz w:val="20"/>
          <w:szCs w:val="20"/>
          <w:lang w:val="en-US" w:eastAsia="es-ES"/>
        </w:rPr>
        <w:t xml:space="preserve">, </w:t>
      </w:r>
      <w:r w:rsidRPr="00EC4AAA">
        <w:rPr>
          <w:rFonts w:ascii="Times New Roman" w:hAnsi="Times New Roman"/>
          <w:sz w:val="20"/>
          <w:szCs w:val="20"/>
          <w:lang w:val="en-US" w:eastAsia="es-ES"/>
        </w:rPr>
        <w:t>324</w:t>
      </w:r>
      <w:r>
        <w:rPr>
          <w:rFonts w:ascii="Times New Roman" w:hAnsi="Times New Roman"/>
          <w:sz w:val="20"/>
          <w:szCs w:val="20"/>
          <w:lang w:val="en-US" w:eastAsia="es-ES"/>
        </w:rPr>
        <w:t>:</w:t>
      </w:r>
      <w:r w:rsidRPr="00EC4AAA">
        <w:rPr>
          <w:rFonts w:ascii="Times New Roman" w:hAnsi="Times New Roman"/>
          <w:sz w:val="20"/>
          <w:szCs w:val="20"/>
          <w:lang w:val="en-US" w:eastAsia="es-ES"/>
        </w:rPr>
        <w:t>129296</w:t>
      </w:r>
      <w:r>
        <w:rPr>
          <w:rFonts w:ascii="Times New Roman" w:hAnsi="Times New Roman"/>
          <w:sz w:val="20"/>
          <w:szCs w:val="20"/>
          <w:lang w:val="en-US" w:eastAsia="es-ES"/>
        </w:rPr>
        <w:t>.</w:t>
      </w:r>
      <w:r w:rsidRPr="00EC4AAA">
        <w:rPr>
          <w:rFonts w:ascii="Times New Roman" w:hAnsi="Times New Roman"/>
          <w:sz w:val="20"/>
          <w:szCs w:val="20"/>
          <w:lang w:val="en-US" w:eastAsia="es-ES"/>
        </w:rPr>
        <w:t xml:space="preserve"> </w:t>
      </w:r>
      <w:hyperlink r:id="rId29" w:history="1">
        <w:r w:rsidRPr="00C57260">
          <w:rPr>
            <w:rStyle w:val="Hipervnculo"/>
            <w:rFonts w:ascii="Times New Roman" w:hAnsi="Times New Roman"/>
            <w:sz w:val="20"/>
            <w:szCs w:val="20"/>
            <w:lang w:val="en-US" w:eastAsia="es-ES"/>
          </w:rPr>
          <w:t>https://doi.org/10.1016/j.jclepro.2021.129296</w:t>
        </w:r>
      </w:hyperlink>
      <w:r w:rsidRPr="00EC4AAA">
        <w:rPr>
          <w:rFonts w:ascii="Times New Roman" w:hAnsi="Times New Roman"/>
          <w:sz w:val="20"/>
          <w:szCs w:val="20"/>
          <w:lang w:val="en-US" w:eastAsia="es-ES"/>
        </w:rPr>
        <w:t>.</w:t>
      </w:r>
    </w:p>
    <w:sectPr w:rsidR="00FB0775" w:rsidRPr="00EC4AAA" w:rsidSect="001F166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6627" w14:textId="77777777" w:rsidR="0011577D" w:rsidRDefault="0011577D" w:rsidP="00CF6F61">
      <w:pPr>
        <w:spacing w:after="0" w:line="240" w:lineRule="auto"/>
      </w:pPr>
      <w:r>
        <w:separator/>
      </w:r>
    </w:p>
  </w:endnote>
  <w:endnote w:type="continuationSeparator" w:id="0">
    <w:p w14:paraId="5E537DF4" w14:textId="77777777" w:rsidR="0011577D" w:rsidRDefault="0011577D" w:rsidP="00CF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4F59" w14:textId="77777777" w:rsidR="0011577D" w:rsidRDefault="0011577D" w:rsidP="00CF6F61">
      <w:pPr>
        <w:spacing w:after="0" w:line="240" w:lineRule="auto"/>
      </w:pPr>
      <w:r>
        <w:separator/>
      </w:r>
    </w:p>
  </w:footnote>
  <w:footnote w:type="continuationSeparator" w:id="0">
    <w:p w14:paraId="0E9FF875" w14:textId="77777777" w:rsidR="0011577D" w:rsidRDefault="0011577D" w:rsidP="00CF6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0DE"/>
    <w:multiLevelType w:val="hybridMultilevel"/>
    <w:tmpl w:val="CEB80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A75248"/>
    <w:multiLevelType w:val="multilevel"/>
    <w:tmpl w:val="B39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D7F1D"/>
    <w:multiLevelType w:val="hybridMultilevel"/>
    <w:tmpl w:val="85B62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1175123">
    <w:abstractNumId w:val="0"/>
  </w:num>
  <w:num w:numId="2" w16cid:durableId="3096163">
    <w:abstractNumId w:val="2"/>
  </w:num>
  <w:num w:numId="3" w16cid:durableId="134632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Mjc1MDA1MDE0NzRU0lEKTi0uzszPAykwrgUARj+UJywAAAA="/>
  </w:docVars>
  <w:rsids>
    <w:rsidRoot w:val="00E10629"/>
    <w:rsid w:val="000004AE"/>
    <w:rsid w:val="00000809"/>
    <w:rsid w:val="00006905"/>
    <w:rsid w:val="000139A1"/>
    <w:rsid w:val="000225A7"/>
    <w:rsid w:val="00034C96"/>
    <w:rsid w:val="00034FC6"/>
    <w:rsid w:val="00037A21"/>
    <w:rsid w:val="00041AA5"/>
    <w:rsid w:val="00063C4D"/>
    <w:rsid w:val="00093ECC"/>
    <w:rsid w:val="0009565C"/>
    <w:rsid w:val="00096F07"/>
    <w:rsid w:val="000B0DE7"/>
    <w:rsid w:val="000B291A"/>
    <w:rsid w:val="000B5976"/>
    <w:rsid w:val="000C044E"/>
    <w:rsid w:val="000C55B2"/>
    <w:rsid w:val="000E23BE"/>
    <w:rsid w:val="000F092F"/>
    <w:rsid w:val="000F2C7D"/>
    <w:rsid w:val="00105F04"/>
    <w:rsid w:val="00114B13"/>
    <w:rsid w:val="00114F9E"/>
    <w:rsid w:val="0011577D"/>
    <w:rsid w:val="00136914"/>
    <w:rsid w:val="00151B53"/>
    <w:rsid w:val="0015487E"/>
    <w:rsid w:val="00160251"/>
    <w:rsid w:val="001677AE"/>
    <w:rsid w:val="001775D4"/>
    <w:rsid w:val="001B5BD5"/>
    <w:rsid w:val="001E5A01"/>
    <w:rsid w:val="001F1661"/>
    <w:rsid w:val="001F5C48"/>
    <w:rsid w:val="00237935"/>
    <w:rsid w:val="002564BB"/>
    <w:rsid w:val="00271D99"/>
    <w:rsid w:val="00291EFB"/>
    <w:rsid w:val="002A57CF"/>
    <w:rsid w:val="002E51CF"/>
    <w:rsid w:val="002F049A"/>
    <w:rsid w:val="00313605"/>
    <w:rsid w:val="00314AFA"/>
    <w:rsid w:val="00330033"/>
    <w:rsid w:val="003545ED"/>
    <w:rsid w:val="003B5687"/>
    <w:rsid w:val="003B7D99"/>
    <w:rsid w:val="003D158D"/>
    <w:rsid w:val="003D78B3"/>
    <w:rsid w:val="003F577D"/>
    <w:rsid w:val="003F7634"/>
    <w:rsid w:val="004001DF"/>
    <w:rsid w:val="0041599C"/>
    <w:rsid w:val="00415A64"/>
    <w:rsid w:val="004267C6"/>
    <w:rsid w:val="00427835"/>
    <w:rsid w:val="00434A41"/>
    <w:rsid w:val="00440076"/>
    <w:rsid w:val="00455843"/>
    <w:rsid w:val="00457F5F"/>
    <w:rsid w:val="00460F49"/>
    <w:rsid w:val="00495076"/>
    <w:rsid w:val="004A2665"/>
    <w:rsid w:val="004B46E1"/>
    <w:rsid w:val="004C1F71"/>
    <w:rsid w:val="004C45FD"/>
    <w:rsid w:val="004C695A"/>
    <w:rsid w:val="004F5D9A"/>
    <w:rsid w:val="005008AA"/>
    <w:rsid w:val="00501075"/>
    <w:rsid w:val="00501AC1"/>
    <w:rsid w:val="00503ABB"/>
    <w:rsid w:val="00506EC6"/>
    <w:rsid w:val="00527A05"/>
    <w:rsid w:val="005423FB"/>
    <w:rsid w:val="0054255F"/>
    <w:rsid w:val="0054275E"/>
    <w:rsid w:val="00551803"/>
    <w:rsid w:val="00562B35"/>
    <w:rsid w:val="00580489"/>
    <w:rsid w:val="005919DD"/>
    <w:rsid w:val="005A203C"/>
    <w:rsid w:val="005A279C"/>
    <w:rsid w:val="005B64AB"/>
    <w:rsid w:val="005B7E13"/>
    <w:rsid w:val="005C092C"/>
    <w:rsid w:val="005E5C13"/>
    <w:rsid w:val="005F77E7"/>
    <w:rsid w:val="00616DC7"/>
    <w:rsid w:val="00657EB1"/>
    <w:rsid w:val="00672DAE"/>
    <w:rsid w:val="0068422E"/>
    <w:rsid w:val="0068636A"/>
    <w:rsid w:val="006866CA"/>
    <w:rsid w:val="006966BE"/>
    <w:rsid w:val="006C3169"/>
    <w:rsid w:val="006D73D1"/>
    <w:rsid w:val="00721CDC"/>
    <w:rsid w:val="007319A1"/>
    <w:rsid w:val="00734782"/>
    <w:rsid w:val="00736039"/>
    <w:rsid w:val="00744B3D"/>
    <w:rsid w:val="0075016C"/>
    <w:rsid w:val="00757F30"/>
    <w:rsid w:val="00760BB3"/>
    <w:rsid w:val="00780862"/>
    <w:rsid w:val="007B0261"/>
    <w:rsid w:val="007B2E87"/>
    <w:rsid w:val="007C5EDD"/>
    <w:rsid w:val="007D7E25"/>
    <w:rsid w:val="007F71C4"/>
    <w:rsid w:val="0081514F"/>
    <w:rsid w:val="00835CE5"/>
    <w:rsid w:val="00836905"/>
    <w:rsid w:val="0084048A"/>
    <w:rsid w:val="008419E8"/>
    <w:rsid w:val="00851732"/>
    <w:rsid w:val="008614A2"/>
    <w:rsid w:val="00871A67"/>
    <w:rsid w:val="00876ACC"/>
    <w:rsid w:val="008A1B87"/>
    <w:rsid w:val="008C3802"/>
    <w:rsid w:val="008C755F"/>
    <w:rsid w:val="008D365F"/>
    <w:rsid w:val="008E2FDC"/>
    <w:rsid w:val="008F1CC7"/>
    <w:rsid w:val="009607DF"/>
    <w:rsid w:val="00981645"/>
    <w:rsid w:val="009913BD"/>
    <w:rsid w:val="0099769B"/>
    <w:rsid w:val="009B60FE"/>
    <w:rsid w:val="009E6701"/>
    <w:rsid w:val="009E7BEF"/>
    <w:rsid w:val="00A05BF2"/>
    <w:rsid w:val="00A46BE1"/>
    <w:rsid w:val="00A51B32"/>
    <w:rsid w:val="00A767F6"/>
    <w:rsid w:val="00A77F9B"/>
    <w:rsid w:val="00A8728A"/>
    <w:rsid w:val="00A90B5E"/>
    <w:rsid w:val="00AC3D18"/>
    <w:rsid w:val="00AC710E"/>
    <w:rsid w:val="00AD7A5B"/>
    <w:rsid w:val="00B25553"/>
    <w:rsid w:val="00B476AD"/>
    <w:rsid w:val="00B60B9F"/>
    <w:rsid w:val="00B809DE"/>
    <w:rsid w:val="00B81590"/>
    <w:rsid w:val="00BB0D90"/>
    <w:rsid w:val="00BB37DB"/>
    <w:rsid w:val="00BD795A"/>
    <w:rsid w:val="00BE2B1B"/>
    <w:rsid w:val="00BF12A4"/>
    <w:rsid w:val="00C0385A"/>
    <w:rsid w:val="00C229FC"/>
    <w:rsid w:val="00C44AA8"/>
    <w:rsid w:val="00C57DAC"/>
    <w:rsid w:val="00C8392E"/>
    <w:rsid w:val="00C93B9C"/>
    <w:rsid w:val="00CA5312"/>
    <w:rsid w:val="00CC737B"/>
    <w:rsid w:val="00CD6C04"/>
    <w:rsid w:val="00CF05AA"/>
    <w:rsid w:val="00CF1EDF"/>
    <w:rsid w:val="00CF351F"/>
    <w:rsid w:val="00CF6F61"/>
    <w:rsid w:val="00D10716"/>
    <w:rsid w:val="00D171E1"/>
    <w:rsid w:val="00D2409D"/>
    <w:rsid w:val="00D37998"/>
    <w:rsid w:val="00D55049"/>
    <w:rsid w:val="00D5734B"/>
    <w:rsid w:val="00D63694"/>
    <w:rsid w:val="00D63F9F"/>
    <w:rsid w:val="00D664B6"/>
    <w:rsid w:val="00D718FB"/>
    <w:rsid w:val="00D906B6"/>
    <w:rsid w:val="00D96883"/>
    <w:rsid w:val="00DA0345"/>
    <w:rsid w:val="00DA61EF"/>
    <w:rsid w:val="00DB5042"/>
    <w:rsid w:val="00DE5BFE"/>
    <w:rsid w:val="00E10629"/>
    <w:rsid w:val="00E12FB0"/>
    <w:rsid w:val="00E22A3A"/>
    <w:rsid w:val="00E247C7"/>
    <w:rsid w:val="00E3598A"/>
    <w:rsid w:val="00E37F34"/>
    <w:rsid w:val="00E560D9"/>
    <w:rsid w:val="00E561EF"/>
    <w:rsid w:val="00E57125"/>
    <w:rsid w:val="00E80502"/>
    <w:rsid w:val="00E92E5F"/>
    <w:rsid w:val="00E97D9C"/>
    <w:rsid w:val="00EA24DC"/>
    <w:rsid w:val="00EB375B"/>
    <w:rsid w:val="00EB3AB9"/>
    <w:rsid w:val="00EC24C1"/>
    <w:rsid w:val="00EC4AAA"/>
    <w:rsid w:val="00ED678F"/>
    <w:rsid w:val="00EF13F4"/>
    <w:rsid w:val="00EF686C"/>
    <w:rsid w:val="00EF694C"/>
    <w:rsid w:val="00F07B1A"/>
    <w:rsid w:val="00F217DA"/>
    <w:rsid w:val="00F309DF"/>
    <w:rsid w:val="00F32A9F"/>
    <w:rsid w:val="00F375E9"/>
    <w:rsid w:val="00F40003"/>
    <w:rsid w:val="00F41D09"/>
    <w:rsid w:val="00F70F03"/>
    <w:rsid w:val="00F81A05"/>
    <w:rsid w:val="00F92ED9"/>
    <w:rsid w:val="00F94142"/>
    <w:rsid w:val="00F95B38"/>
    <w:rsid w:val="00FA7C2A"/>
    <w:rsid w:val="00FB0775"/>
    <w:rsid w:val="00FB5053"/>
    <w:rsid w:val="00FB7D42"/>
    <w:rsid w:val="00FC1E85"/>
    <w:rsid w:val="00FD0BFC"/>
    <w:rsid w:val="00FD2B02"/>
    <w:rsid w:val="00FE1D41"/>
    <w:rsid w:val="1CEE7C6F"/>
    <w:rsid w:val="6A9C3DEE"/>
    <w:rsid w:val="77A1028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E1C55"/>
  <w15:docId w15:val="{9DC3626A-94D1-40CC-9C6A-87DA6D12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29"/>
    <w:pPr>
      <w:spacing w:after="200" w:line="276" w:lineRule="auto"/>
    </w:pPr>
    <w:rPr>
      <w:sz w:val="22"/>
      <w:szCs w:val="22"/>
      <w:lang w:val="pt-PT"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27A05"/>
    <w:pPr>
      <w:ind w:left="720"/>
      <w:contextualSpacing/>
    </w:pPr>
  </w:style>
  <w:style w:type="character" w:styleId="Hipervnculo">
    <w:name w:val="Hyperlink"/>
    <w:basedOn w:val="Fuentedeprrafopredeter"/>
    <w:uiPriority w:val="99"/>
    <w:unhideWhenUsed/>
    <w:rsid w:val="002564BB"/>
    <w:rPr>
      <w:color w:val="0000FF" w:themeColor="hyperlink"/>
      <w:u w:val="single"/>
    </w:rPr>
  </w:style>
  <w:style w:type="paragraph" w:styleId="Encabezado">
    <w:name w:val="header"/>
    <w:basedOn w:val="Normal"/>
    <w:link w:val="EncabezadoCar"/>
    <w:uiPriority w:val="99"/>
    <w:unhideWhenUsed/>
    <w:rsid w:val="00CF6F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6F61"/>
    <w:rPr>
      <w:sz w:val="22"/>
      <w:szCs w:val="22"/>
      <w:lang w:val="pt-PT" w:eastAsia="en-US"/>
    </w:rPr>
  </w:style>
  <w:style w:type="paragraph" w:styleId="Piedepgina">
    <w:name w:val="footer"/>
    <w:basedOn w:val="Normal"/>
    <w:link w:val="PiedepginaCar"/>
    <w:uiPriority w:val="99"/>
    <w:unhideWhenUsed/>
    <w:rsid w:val="00CF6F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6F61"/>
    <w:rPr>
      <w:sz w:val="22"/>
      <w:szCs w:val="22"/>
      <w:lang w:val="pt-PT" w:eastAsia="en-US"/>
    </w:rPr>
  </w:style>
  <w:style w:type="character" w:styleId="Mencinsinresolver">
    <w:name w:val="Unresolved Mention"/>
    <w:basedOn w:val="Fuentedeprrafopredeter"/>
    <w:uiPriority w:val="99"/>
    <w:semiHidden/>
    <w:unhideWhenUsed/>
    <w:rsid w:val="00CF351F"/>
    <w:rPr>
      <w:color w:val="605E5C"/>
      <w:shd w:val="clear" w:color="auto" w:fill="E1DFDD"/>
    </w:rPr>
  </w:style>
  <w:style w:type="character" w:styleId="nfasis">
    <w:name w:val="Emphasis"/>
    <w:basedOn w:val="Fuentedeprrafopredeter"/>
    <w:uiPriority w:val="20"/>
    <w:qFormat/>
    <w:locked/>
    <w:rsid w:val="00000809"/>
    <w:rPr>
      <w:i/>
      <w:iCs/>
    </w:rPr>
  </w:style>
  <w:style w:type="character" w:styleId="Hipervnculovisitado">
    <w:name w:val="FollowedHyperlink"/>
    <w:basedOn w:val="Fuentedeprrafopredeter"/>
    <w:uiPriority w:val="99"/>
    <w:semiHidden/>
    <w:unhideWhenUsed/>
    <w:rsid w:val="00E80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071">
      <w:bodyDiv w:val="1"/>
      <w:marLeft w:val="0"/>
      <w:marRight w:val="0"/>
      <w:marTop w:val="0"/>
      <w:marBottom w:val="0"/>
      <w:divBdr>
        <w:top w:val="none" w:sz="0" w:space="0" w:color="auto"/>
        <w:left w:val="none" w:sz="0" w:space="0" w:color="auto"/>
        <w:bottom w:val="none" w:sz="0" w:space="0" w:color="auto"/>
        <w:right w:val="none" w:sz="0" w:space="0" w:color="auto"/>
      </w:divBdr>
    </w:div>
    <w:div w:id="581913936">
      <w:bodyDiv w:val="1"/>
      <w:marLeft w:val="0"/>
      <w:marRight w:val="0"/>
      <w:marTop w:val="0"/>
      <w:marBottom w:val="0"/>
      <w:divBdr>
        <w:top w:val="none" w:sz="0" w:space="0" w:color="auto"/>
        <w:left w:val="none" w:sz="0" w:space="0" w:color="auto"/>
        <w:bottom w:val="none" w:sz="0" w:space="0" w:color="auto"/>
        <w:right w:val="none" w:sz="0" w:space="0" w:color="auto"/>
      </w:divBdr>
      <w:divsChild>
        <w:div w:id="889195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419101">
      <w:bodyDiv w:val="1"/>
      <w:marLeft w:val="0"/>
      <w:marRight w:val="0"/>
      <w:marTop w:val="0"/>
      <w:marBottom w:val="0"/>
      <w:divBdr>
        <w:top w:val="none" w:sz="0" w:space="0" w:color="auto"/>
        <w:left w:val="none" w:sz="0" w:space="0" w:color="auto"/>
        <w:bottom w:val="none" w:sz="0" w:space="0" w:color="auto"/>
        <w:right w:val="none" w:sz="0" w:space="0" w:color="auto"/>
      </w:divBdr>
    </w:div>
    <w:div w:id="12136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rcorreaporcel@hotmail.com" TargetMode="External"/><Relationship Id="rId13" Type="http://schemas.openxmlformats.org/officeDocument/2006/relationships/image" Target="media/image5.png"/><Relationship Id="rId18" Type="http://schemas.openxmlformats.org/officeDocument/2006/relationships/hyperlink" Target="https://doi.org/10.1016/j.regsus.2024.100144" TargetMode="External"/><Relationship Id="rId26" Type="http://schemas.openxmlformats.org/officeDocument/2006/relationships/hyperlink" Target="https://doi.org/10.3390/w12113262" TargetMode="External"/><Relationship Id="rId3" Type="http://schemas.openxmlformats.org/officeDocument/2006/relationships/styles" Target="styles.xml"/><Relationship Id="rId21" Type="http://schemas.openxmlformats.org/officeDocument/2006/relationships/hyperlink" Target="https://doi.org/10.1016/j.jclepro.2020.12236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142/S2382624X2540017X" TargetMode="External"/><Relationship Id="rId25" Type="http://schemas.openxmlformats.org/officeDocument/2006/relationships/hyperlink" Target="https://doi.org/10.1007/s11269-023-03481-5" TargetMode="External"/><Relationship Id="rId2" Type="http://schemas.openxmlformats.org/officeDocument/2006/relationships/numbering" Target="numbering.xml"/><Relationship Id="rId16" Type="http://schemas.openxmlformats.org/officeDocument/2006/relationships/hyperlink" Target="https://polipapers.upv.es/index.php/IA/article/view/2977" TargetMode="External"/><Relationship Id="rId20" Type="http://schemas.openxmlformats.org/officeDocument/2006/relationships/hyperlink" Target="https://doi.org/10.1016/j.scitotenv.2018.05.163" TargetMode="External"/><Relationship Id="rId29" Type="http://schemas.openxmlformats.org/officeDocument/2006/relationships/hyperlink" Target="https://doi.org/10.1016/j.jclepro.2021.129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07/s11269-023-03663-1" TargetMode="External"/><Relationship Id="rId5" Type="http://schemas.openxmlformats.org/officeDocument/2006/relationships/webSettings" Target="webSettings.xml"/><Relationship Id="rId15" Type="http://schemas.openxmlformats.org/officeDocument/2006/relationships/hyperlink" Target="https://doi.org/10.3390/ijerph16214097" TargetMode="External"/><Relationship Id="rId23" Type="http://schemas.openxmlformats.org/officeDocument/2006/relationships/hyperlink" Target="https://doi.org/10.1007/s10980-024-01872-6" TargetMode="External"/><Relationship Id="rId28" Type="http://schemas.openxmlformats.org/officeDocument/2006/relationships/hyperlink" Target="https://doi.org/10.1007/s11269-015-1125-5" TargetMode="External"/><Relationship Id="rId10" Type="http://schemas.openxmlformats.org/officeDocument/2006/relationships/image" Target="media/image2.emf"/><Relationship Id="rId19" Type="http://schemas.openxmlformats.org/officeDocument/2006/relationships/hyperlink" Target="https://doi.org/10.1016/0305-0548(94)00059-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186/s12302-022-00671-7" TargetMode="External"/><Relationship Id="rId22" Type="http://schemas.openxmlformats.org/officeDocument/2006/relationships/hyperlink" Target="https://doi.org/10.36227/techrxiv.170594775.55495325/v1" TargetMode="External"/><Relationship Id="rId27" Type="http://schemas.openxmlformats.org/officeDocument/2006/relationships/hyperlink" Target="https://doi.org/10.1007/s13762-020-0292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044C-BE35-428F-8503-6CB888AF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2104</Words>
  <Characters>13637</Characters>
  <Application>Microsoft Office Word</Application>
  <DocSecurity>0</DocSecurity>
  <Lines>192</Lines>
  <Paragraphs>18</Paragraphs>
  <ScaleCrop>false</ScaleCrop>
  <HeadingPairs>
    <vt:vector size="2" baseType="variant">
      <vt:variant>
        <vt:lpstr>Título</vt:lpstr>
      </vt:variant>
      <vt:variant>
        <vt:i4>1</vt:i4>
      </vt:variant>
    </vt:vector>
  </HeadingPairs>
  <TitlesOfParts>
    <vt:vector size="1" baseType="lpstr">
      <vt:lpstr>TÍTULO DE LA COMUNICACIÓN (EN TIMES NEW ROMAN, NEGRITA, TAMAÑO 10, MAYÚSCULAS EN UN MÁXIMO DE TRES LÍNEAS)</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 LA COMUNICACIÓN (EN TIMES NEW ROMAN, NEGRITA, TAMAÑO 10, MAYÚSCULAS EN UN MÁXIMO DE TRES LÍNEAS)</dc:title>
  <dc:subject/>
  <dc:creator>****</dc:creator>
  <cp:keywords/>
  <cp:lastModifiedBy>Víctor Correa Porcel</cp:lastModifiedBy>
  <cp:revision>17</cp:revision>
  <dcterms:created xsi:type="dcterms:W3CDTF">2025-09-17T08:59:00Z</dcterms:created>
  <dcterms:modified xsi:type="dcterms:W3CDTF">2025-09-26T17:05:00Z</dcterms:modified>
</cp:coreProperties>
</file>